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189).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(60-184)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(68-326)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(172-408)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 (112-440)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 (425-436)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(5.8%)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(160-414)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2026-10-09T15:07:40Z</dcterms:modified>
  <cp:category/>
</cp:coreProperties>
</file>