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Long-horizon kidney outcomes (N = 322). Not censored at 90 days.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430"/>
        <w:gridCol w:w="1487"/>
        <w:gridCol w:w="3101"/>
      </w:tblGrid>
      <w:tr>
        <w:trPr>
          <w:trHeight w:val="62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days to event (IQR)</w:t>
            </w:r>
          </w:p>
        </w:tc>
      </w:tr>
      <w:tr>
        <w:trPr>
          <w:trHeight w:val="61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within 1 year (serial creatinine)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 (15.8%)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118 (68-180)</w:t>
            </w:r>
          </w:p>
        </w:tc>
      </w:tr>
      <w:tr>
        <w:trPr>
          <w:trHeight w:val="61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at any time (reference only, not modelled)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 (19.6%)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144 (77-236)</w:t>
            </w:r>
          </w:p>
        </w:tc>
      </w:tr>
      <w:tr>
        <w:trPr>
          <w:trHeight w:val="61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(&gt;25% eGFR drop to &lt;60,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251 (119-406)</w:t>
            </w:r>
          </w:p>
        </w:tc>
      </w:tr>
      <w:tr>
        <w:trPr>
          <w:trHeight w:val="62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any (&gt;=60 to &lt;60, sustained &gt;=90d, no % drop)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 (11.5%)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151 (72-385)</w:t>
            </w:r>
          </w:p>
        </w:tc>
      </w:tr>
      <w:tr>
        <w:trPr>
          <w:trHeight w:val="62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progression (&lt;60 at baseline, further &gt;30% drop,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359 (301-420)</w:t>
            </w:r>
          </w:p>
        </w:tc>
      </w:tr>
      <w:tr>
        <w:trPr>
          <w:trHeight w:val="61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(eGFR &lt;10,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ESRD / kidney transplant after 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9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 (38-38)</w:t>
            </w:r>
          </w:p>
        </w:tc>
      </w:tr>
      <w:tr>
        <w:trPr>
          <w:trHeight w:val="621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composite (incidence + progression + ESKD composite)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 (8.1%)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254 (122-404)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2026-10-09T15:05:50Z</dcterms:modified>
  <cp:category/>
</cp:coreProperties>
</file>