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(21.0%)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(49-186)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 (64-284)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(112-438)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 (100-363)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(228-430)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(8.4%)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(112-428)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2026-10-19T12:35:49Z</dcterms:modified>
  <cp:category/>
</cp:coreProperties>
</file>