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(13.3%)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 (217-504)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(73-168)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(78-350)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2026-08-17T08:00:05Z</dcterms:modified>
  <cp:category/>
</cp:coreProperties>
</file>