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190).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534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2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(serial creatinine, KDIGO-style)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 (16.3%)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 (68-326)</w:t>
            </w:r>
          </w:p>
        </w:tc>
      </w:tr>
      <w:tr>
        <w:trPr>
          <w:trHeight w:val="61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(&gt;30% eGFR drop to &lt;60, sustained)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385 (278-474)</w:t>
            </w:r>
          </w:p>
        </w:tc>
      </w:tr>
      <w:tr>
        <w:trPr>
          <w:trHeight w:val="62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(eGFR &lt;60 at baseline and after)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(7-78)</w:t>
            </w:r>
          </w:p>
        </w:tc>
      </w:tr>
      <w:tr>
        <w:trPr>
          <w:trHeight w:val="618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19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 (8.9%)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 (7-343)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2026-08-17T07:57:43Z</dcterms:modified>
  <cp:category/>
</cp:coreProperties>
</file>