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(108-413)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(7-83)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 (10.8%)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(7-276)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2026-08-17T07:56:03Z</dcterms:modified>
  <cp:category/>
</cp:coreProperties>
</file>