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142).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(8.5%)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 (74-183)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 (92-441)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(193-466)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(156-461)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(7.0%)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(193-466)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2026-10-27T12:03:02Z</dcterms:modified>
  <cp:category/>
</cp:coreProperties>
</file>