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943).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609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 (21.0%)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 (49-186)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243 (25.8%)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138 (64-284)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257 (112-438)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98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194 (100-363)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359 (228-430)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(15-30)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 (8.4%)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257 (112-428)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2026-10-27T11:59:50Z</dcterms:modified>
  <cp:category/>
</cp:coreProperties>
</file>