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(16.1%)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(70-183)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 (77-240)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(122-429)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(73-385)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 (344-425)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(9.3%)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(122-417)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2026-10-27T11:58:13Z</dcterms:modified>
  <cp:category/>
</cp:coreProperties>
</file>