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143).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(8.4%)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 (74-183)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187 (92-441)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257 (160-407)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 (11.9%)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273 (148-486)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(4.9%)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257 (160-407)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2026-10-08T10:10:47Z</dcterms:modified>
  <cp:category/>
</cp:coreProperties>
</file>