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190).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(12.1%)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(60-184)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(172-408)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(112-440)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(160-414)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2026-10-08T10:08:13Z</dcterms:modified>
  <cp:category/>
</cp:coreProperties>
</file>