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 (20.9%)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(49-185)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240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 (63-274)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 (97-345)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330 (191-425)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2026-10-08T10:04:16Z</dcterms:modified>
  <cp:category/>
</cp:coreProperties>
</file>