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10 % decline in eGFR difference (%) — 100 × (CKD-EPI 2012 CysC − CKD-EPI 2021 Cr) / CKD-EPI 2021 Cr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 (1.01, 1.26)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0.036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 (1.06,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 (0.84, 1.34)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0.629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(0.52, 2.49)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0.747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 (1.04, 1.68)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(1.11, 1.69)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 (1.12, 1.74)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 (0.84,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0.954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 (0.93, 1.44)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0.197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323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29.66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2026-10-08T10:07:59Z</dcterms:modified>
  <cp:category/>
</cp:coreProperties>
</file>