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323).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(15.8%)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(68-180)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(77-236)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 (119-406)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 (72-385)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(301-420)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2026-10-08T10:06:21Z</dcterms:modified>
  <cp:category/>
</cp:coreProperties>
</file>