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159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1.13, 1.85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0.88, 2.03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</w:tr>
      <w:tr>
        <w:trPr>
          <w:trHeight w:val="598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</w:tr>
      <w:tr>
        <w:trPr>
          <w:trHeight w:val="565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0.66, 5.71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0.63, 7.66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</w:tr>
      <w:tr>
        <w:trPr>
          <w:trHeight w:val="598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0.94, 2.70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0.54, 5.62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</w:tr>
      <w:tr>
        <w:trPr>
          <w:trHeight w:val="598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0.55, 4.39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0.46, 5.17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</w:tr>
      <w:tr>
        <w:trPr>
          <w:trHeight w:val="598" w:hRule="auto"/>
        </w:trPr>
        body8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</w:tr>
      <w:tr>
        <w:trPr>
          <w:trHeight w:val="620" w:hRule="auto"/>
        </w:trPr>
        body9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pre_HGB_45days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0.31, 0.61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0.29, 0.76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360" w:hRule="auto"/>
        </w:trPr>
        footer1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2026-07-21T17:04:46Z</dcterms:modified>
  <cp:category/>
</cp:coreProperties>
</file>