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BluCorp - Sound Effect Cue Sheet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contextualSpacing w:val="0"/>
        <w:rPr/>
      </w:pPr>
      <w:r w:rsidDel="00000000" w:rsidR="00000000" w:rsidRPr="00000000">
        <w:rPr>
          <w:rtl w:val="0"/>
        </w:rPr>
        <w:t xml:space="preserve">**Note:  Scoring is in bm**</w:t>
      </w:r>
    </w:p>
    <w:p w:rsidR="00000000" w:rsidDel="00000000" w:rsidP="00000000" w:rsidRDefault="00000000" w:rsidRPr="00000000" w14:paraId="00000003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4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00"/>
        <w:gridCol w:w="4965"/>
        <w:gridCol w:w="1425"/>
        <w:gridCol w:w="255"/>
        <w:tblGridChange w:id="0">
          <w:tblGrid>
            <w:gridCol w:w="2700"/>
            <w:gridCol w:w="4965"/>
            <w:gridCol w:w="1425"/>
            <w:gridCol w:w="25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File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Location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BC_Computer_01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BC_Computer_02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BC_Computer_03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BC_Drain_Tank_01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BC_Drawer_01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BC_Drawer_02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BC_Nema_01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BC_Nema_ALT_01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BC_Nona_01a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BC_Office_Door_01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BC_Paper_Shuffle_01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BC_Paper_Shuffle_02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BC_Sedative_Gas_01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BC_Stephen_Neg_01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BC_Stephen_Pos_01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BC_Tank_Open_01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5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  <w:contextualSpacing w:val="1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