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Annual Technology Review</w:t>
      </w:r>
    </w:p>
    <w:p>
      <w:pPr>
        <w:pStyle w:val="Heading2"/>
      </w:pPr>
      <w:r>
        <w:t>Executive Summary</w:t>
      </w:r>
    </w:p>
    <w:p>
      <w:r>
        <w:rPr>
          <w:rFonts w:ascii="Calibri" w:hAnsi="Calibri"/>
          <w:sz w:val="24"/>
        </w:rPr>
        <w:t xml:space="preserve">This report summarizes key technology trends and organizational achievements in the first half of 2026. </w:t>
      </w:r>
      <w:r>
        <w:rPr>
          <w:rFonts w:ascii="Calibri" w:hAnsi="Calibri"/>
          <w:b/>
          <w:sz w:val="24"/>
        </w:rPr>
        <w:t>Highlights:</w:t>
      </w:r>
      <w:r>
        <w:rPr>
          <w:rFonts w:ascii="Calibri" w:hAnsi="Calibri"/>
          <w:sz w:val="24"/>
        </w:rPr>
        <w:t xml:space="preserve"> AI adoption grew </w:t>
      </w:r>
      <w:r>
        <w:rPr>
          <w:rFonts w:ascii="Calibri" w:hAnsi="Calibri"/>
          <w:color w:val="0000FF"/>
          <w:sz w:val="24"/>
        </w:rPr>
        <w:t>340%</w:t>
      </w:r>
      <w:r>
        <w:rPr>
          <w:rFonts w:ascii="Calibri" w:hAnsi="Calibri"/>
          <w:sz w:val="24"/>
        </w:rPr>
        <w:t xml:space="preserve">, cloud migration </w:t>
      </w:r>
      <w:r>
        <w:rPr>
          <w:rFonts w:ascii="Calibri" w:hAnsi="Calibri"/>
          <w:i/>
          <w:sz w:val="24"/>
        </w:rPr>
        <w:t>completed 2 months ahead of schedule</w:t>
      </w:r>
      <w:r>
        <w:rPr>
          <w:rFonts w:ascii="Calibri" w:hAnsi="Calibri"/>
          <w:sz w:val="24"/>
        </w:rPr>
        <w:t xml:space="preserve">, and our new MCP-based document automation pipeline reduced manual report generation time by </w:t>
      </w:r>
      <w:r>
        <w:rPr>
          <w:rFonts w:ascii="Calibri" w:hAnsi="Calibri"/>
          <w:color w:val="FF0000"/>
          <w:sz w:val="24"/>
        </w:rPr>
        <w:t>92%</w:t>
      </w:r>
      <w:r>
        <w:rPr>
          <w:rFonts w:ascii="Calibri" w:hAnsi="Calibri"/>
          <w:sz w:val="24"/>
        </w:rPr>
        <w:t>.</w:t>
      </w:r>
    </w:p>
    <w:p>
      <w:pPr>
        <w:pStyle w:val="Heading2"/>
      </w:pPr>
      <w:r>
        <w:t>Financial Performance</w:t>
      </w:r>
    </w:p>
    <w:p>
      <m:oMath>
        <m:nary>
          <m:naryPr>
            <m:chr m:val="∑"/>
          </m:naryPr>
          <m:sub>
            <m:r>
              <m:t xml:space="preserve">Q</m:t>
            </m:r>
            <m:r>
              <m:rPr>
                <m:nor m:val="1"/>
              </m:rPr>
              <m:t xml:space="preserve">1</m:t>
            </m:r>
          </m:sub>
          <m:sup>
            <m:r>
              <m:t xml:space="preserve">Q</m:t>
            </m:r>
            <m:r>
              <m:rPr>
                <m:nor m:val="1"/>
              </m:rPr>
              <m:t xml:space="preserve">2</m:t>
            </m:r>
          </m:sup>
          <m:e>
            <m:sSub>
              <m:e>
                <m:r>
                  <m:t xml:space="preserve">R</m:t>
                </m:r>
              </m:e>
              <m:sub>
                <m:r>
                  <m:t xml:space="preserve">i</m:t>
                </m:r>
              </m:sub>
            </m:sSub>
            <m:r>
              <m:t xml:space="preserve">=</m:t>
            </m:r>
            <m:r>
              <m:rPr>
                <m:nor m:val="1"/>
              </m:rPr>
              <m:t xml:space="preserve">12</m:t>
            </m:r>
            <m:r>
              <m:t xml:space="preserve">.</m:t>
            </m:r>
            <m:r>
              <m:rPr>
                <m:nor m:val="1"/>
              </m:rPr>
              <m:t xml:space="preserve">5</m:t>
            </m:r>
          </m:e>
        </m:nary>
        <m:r>
          <m:rPr>
            <m:nor m:val="1"/>
            <m:sty m:val="p"/>
          </m:rPr>
          <m:t xml:space="preserve">M</m:t>
        </m:r>
        <m:r>
          <m:t xml:space="preserve">+</m:t>
        </m:r>
        <m:r>
          <m:rPr>
            <m:nor m:val="1"/>
          </m:rPr>
          <m:t xml:space="preserve">14</m:t>
        </m:r>
        <m:r>
          <m:t xml:space="preserve">.</m:t>
        </m:r>
        <m:r>
          <m:rPr>
            <m:nor m:val="1"/>
          </m:rPr>
          <m:t xml:space="preserve">8</m:t>
        </m:r>
        <m:r>
          <m:rPr>
            <m:nor m:val="1"/>
            <m:sty m:val="p"/>
          </m:rPr>
          <m:t xml:space="preserve">M</m:t>
        </m:r>
        <m:r>
          <m:t xml:space="preserve">=</m:t>
        </m:r>
        <m:r>
          <m:rPr>
            <m:nor m:val="1"/>
          </m:rPr>
          <m:t xml:space="preserve">27</m:t>
        </m:r>
        <m:r>
          <m:t xml:space="preserve">.</m:t>
        </m:r>
        <m:r>
          <m:rPr>
            <m:nor m:val="1"/>
          </m:rPr>
          <m:t xml:space="preserve">3</m:t>
        </m:r>
        <m:r>
          <m:rPr>
            <m:nor m:val="1"/>
            <m:sty m:val="p"/>
          </m:rPr>
          <m:t xml:space="preserve">M</m:t>
        </m:r>
      </m:oMath>
    </w:p>
    <w:p>
      <w:r>
        <w:rPr>
          <w:rFonts w:ascii="Calibri" w:hAnsi="Calibri"/>
          <w:sz w:val="24"/>
        </w:rPr>
        <w:t>Revenue trajectory is strong. The compound monthly growth rate (CMGR) follows:</w:t>
      </w:r>
    </w:p>
    <w:p>
      <m:oMath>
        <m:r>
          <m:rPr>
            <m:nor m:val="1"/>
            <m:sty m:val="p"/>
          </m:rPr>
          <m:t xml:space="preserve">CMGR</m:t>
        </m:r>
        <m:r>
          <m:t xml:space="preserve">=</m:t>
          <m:t xml:space="preserve"/>
        </m:r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f</m:t>
                </m:r>
              </m:sub>
            </m:sSub>
          </m:num>
          <m:den>
            <m:sSub>
              <m:e>
                <m:r>
                  <m:t xml:space="preserve">V</m:t>
                </m:r>
              </m:e>
              <m:sub>
                <m:r>
                  <m:t xml:space="preserve">i</m:t>
                </m:r>
              </m:sub>
            </m:sSub>
          </m:den>
        </m:f>
        <m:sSup>
          <m:e>
            <m:r>
              <m:t xml:space="preserve"/>
            </m:r>
          </m:e>
          <m:sup>
            <m:f>
              <m:num>
                <m:r>
                  <m:rPr>
                    <m:nor m:val="1"/>
                  </m:rPr>
                  <m:t xml:space="preserve">1</m:t>
                </m:r>
              </m:num>
              <m:den>
                <m:r>
                  <m:t xml:space="preserve">n</m:t>
                </m:r>
              </m:den>
            </m:f>
          </m:sup>
        </m:sSup>
        <m:r>
          <m:t xml:space="preserve">-</m:t>
        </m:r>
        <m:r>
          <m:rPr>
            <m:nor m:val="1"/>
          </m:rPr>
          <m:t xml:space="preserve">1</m:t>
        </m:r>
      </m:oMath>
    </w:p>
    <w:p>
      <w:pPr>
        <w:pStyle w:val="Heading2"/>
      </w:pPr>
      <w:r>
        <w:t>Team Expansion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Key Metrics Dashboard</w:t>
      </w:r>
    </w:p>
    <w:p>
      <w:r>
        <w:rPr>
          <w:rFonts w:ascii="Calibri" w:hAnsi="Calibri"/>
          <w:b/>
          <w:sz w:val="24"/>
        </w:rPr>
        <w:t>Uptime:</w:t>
      </w:r>
      <w:r>
        <w:rPr>
          <w:rFonts w:ascii="Calibri" w:hAnsi="Calibri"/>
          <w:sz w:val="24"/>
        </w:rPr>
        <w:t xml:space="preserve"> 99.97% \centering{</w:t>
      </w:r>
      <w:r>
        <w:rPr>
          <w:rFonts w:ascii="Calibri" w:hAnsi="Calibri"/>
          <w:b/>
          <w:sz w:val="24"/>
        </w:rPr>
        <w:t>Deployment Frequency: 47/day</w:t>
      </w:r>
      <w:r>
        <w:rPr>
          <w:rFonts w:ascii="Calibri" w:hAnsi="Calibri"/>
          <w:sz w:val="24"/>
        </w:rPr>
        <w:t>} \raggedright{</w:t>
      </w:r>
      <w:r>
        <w:rPr>
          <w:rFonts w:ascii="Calibri" w:hAnsi="Calibri"/>
          <w:i/>
          <w:sz w:val="24"/>
        </w:rPr>
        <w:t>Customer Satisfaction: 4.8/5.0</w:t>
      </w:r>
      <w:r>
        <w:rPr>
          <w:rFonts w:ascii="Calibri" w:hAnsi="Calibri"/>
          <w:sz w:val="24"/>
        </w:rPr>
        <w:t>}</w:t>
      </w:r>
    </w:p>
    <w:p>
      <w:r>
        <w:br w:type="page"/>
      </w:r>
    </w:p>
    <w:p>
      <w:pPr>
        <w:pStyle w:val="Heading2"/>
      </w:pPr>
      <w:r>
        <w:t>Risk Assessment</w:t>
      </w:r>
    </w:p>
    <w:p>
      <w:r>
        <w:rPr>
          <w:rFonts w:ascii="Calibri" w:hAnsi="Calibri"/>
          <w:b/>
          <w:sz w:val="24"/>
        </w:rPr>
        <w:t>Critical: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color w:val="FF0000"/>
          <w:sz w:val="24"/>
        </w:rPr>
        <w:t>Supply chain disruption risk remains high.</w:t>
      </w:r>
      <w:r>
        <w:rPr>
          <w:rFonts w:ascii="Calibri" w:hAnsi="Calibri"/>
          <w:sz w:val="24"/>
        </w:rPr>
        <w:t xml:space="preserve"> Mitigation strategies include vendor diversification and strategic stockpiling. </w:t>
      </w:r>
      <w:r>
        <w:rPr>
          <w:rFonts w:ascii="Calibri" w:hAnsi="Calibri"/>
          <w:b/>
          <w:sz w:val="24"/>
        </w:rPr>
        <w:t>Moderate:</w:t>
      </w:r>
      <w:r>
        <w:rPr>
          <w:rFonts w:ascii="Calibri" w:hAnsi="Calibri"/>
          <w:sz w:val="24"/>
        </w:rPr>
        <w:t xml:space="preserve"> Talent acquisition competition in AI/ML space may impact hiring timelines.</w:t>
      </w:r>
    </w:p>
    <w:p>
      <w:pPr>
        <w:pStyle w:val="Heading2"/>
      </w:pPr>
      <w:r>
        <w:t>Recommendations</w:t>
      </w:r>
    </w:p>
    <w:p>
      <w:r>
        <w:rPr>
          <w:rFonts w:ascii="Calibri" w:hAnsi="Calibri"/>
          <w:sz w:val="24"/>
        </w:rPr>
        <w:t xml:space="preserve">1. Increase AI/ML budget by </w:t>
      </w:r>
      <w:r>
        <w:rPr>
          <w:rFonts w:ascii="Calibri" w:hAnsi="Calibri"/>
          <w:color w:val="0000FF"/>
          <w:sz w:val="24"/>
        </w:rPr>
        <w:t>25%</w:t>
      </w:r>
      <w:r>
        <w:rPr>
          <w:rFonts w:ascii="Calibri" w:hAnsi="Calibri"/>
          <w:sz w:val="24"/>
        </w:rPr>
        <w:t xml:space="preserve"> in Q3.</w:t>
      </w:r>
    </w:p>
    <w:p/>
    <w:p>
      <w:r>
        <w:br w:type="page"/>
      </w:r>
    </w:p>
    <w:p>
      <w:r>
        <w:rPr>
          <w:rFonts w:ascii="Calibri" w:hAnsi="Calibri"/>
          <w:sz w:val="24"/>
        </w:rPr>
        <w:t xml:space="preserve"> 2. Launch MCP integration for all document workflows by September.</w:t>
      </w:r>
    </w:p>
    <w:p/>
    <w:p>
      <w:r>
        <w:br w:type="page"/>
      </w:r>
    </w:p>
    <w:p>
      <w:r>
        <w:rPr>
          <w:rFonts w:ascii="Calibri" w:hAnsi="Calibri"/>
          <w:sz w:val="24"/>
        </w:rPr>
        <w:t xml:space="preserve"> 3. Establish vendor redundancy for critical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Annual Technology Review</dc:title>
  <dc:subject>Annual Review</dc:subject>
  <dc:creator>TianshangScribe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