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Keldysh Input Parameters of ZnS from Keldsyh_II_various.py</w:t>
      </w:r>
    </w:p>
    <w:p>
      <w:pPr>
        <w:jc w:val="center"/>
      </w:pPr>
      <w:r>
        <w:rPr>
          <w:i/>
        </w:rPr>
        <w:t>Independent NIR and LWIR input specification; assigned, computed, and missing fields are distinguished explicitly</w:t>
      </w:r>
    </w:p>
    <w:p>
      <w:pPr>
        <w:pStyle w:val="Heading1"/>
      </w:pPr>
      <w:r>
        <w:t>1. Formula and Code Convention</w:t>
      </w:r>
    </w:p>
    <w:p>
      <w:pPr>
        <w:jc w:val="center"/>
      </w:pPr>
      <w:r>
        <w:rPr>
          <w:sz w:val="28"/>
        </w:rPr>
        <w:t>γ = (ω/e) √[(mᵣ e c n ε₀ E_g)/I]</w:t>
      </w:r>
    </w:p>
    <w:p>
      <w:r>
        <w:t>The script follows the source-paper convention E = √[I/(cnε₀)], so γ contains I, not 2I, in the denominator. E_g is entered in eV and SI units are used internally. The code now uses exact SI definitions and 2022 CODATA values: c = 299792458 m/s, ε₀ = 8.8541878188×10⁻¹² F/m, e = 1.602176634×10⁻¹⁹ C, ℏ = 1.054571817×10⁻³⁴ J·s, and m₀ = 9.1093837139×10⁻³¹ kg.</w:t>
      </w:r>
    </w:p>
    <w:p>
      <w:pPr>
        <w:pStyle w:val="Heading1"/>
      </w:pPr>
      <w:r>
        <w:t>2. Material and Laser Parameters: Assignment versus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79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 field / symbol</w:t>
            </w:r>
          </w:p>
        </w:tc>
        <w:tc>
          <w:tcPr>
            <w:tcW w:type="dxa" w:w="194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Meaning</w:t>
            </w:r>
          </w:p>
        </w:tc>
        <w:tc>
          <w:tcPr>
            <w:tcW w:type="dxa" w:w="295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Value or logic used for ZnS</w:t>
            </w:r>
          </w:p>
        </w:tc>
        <w:tc>
          <w:tcPr>
            <w:tcW w:type="dxa" w:w="10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Unit</w:t>
            </w:r>
          </w:p>
        </w:tc>
        <w:tc>
          <w:tcPr>
            <w:tcW w:type="dxa" w:w="43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Status in various code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mat_flag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Material selector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E_g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Bandgap energy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3.60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eV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in material_flag1().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mᵣ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Electron–hole reduced effective mass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0.34 m₀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kg after ×m₀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ratio to m₀.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Linear refractive index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n₀ = √(n²); wavelength dependent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 from the coded dispersion expression.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n₂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Nonlinear refractive index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6.8×10⁻¹⁹ (λ&lt;2); 4.0×10⁻¹⁹ (λ≥2)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m²/W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Piecewise hard-coded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Reflectance used by the code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0.38251 (λ&lt;2); 0.26693 (λ≥2)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Piecewise hard-coded assignment; not computed from n₀.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Interface transmission factor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T = 1 − R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λ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Vacuum wavelength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0.8 (NIR); 9.2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τ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Intensity-FWHM pulse duration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100 (NIR); 2000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Peak fluence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0.170 (NIR); 1.19 (LWIR)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J/cm²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Hard-coded case assignment.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a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1/e² intensity radius along first principal axis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 in Keldsyh_II_various.py; left blank. If later supplied, use a 1/e² intensity radius (half of the full 1/e² intensity diameter).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b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1/e² intensity radius along second principal axis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µm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 in Keldsyh_II_various.py; left blank. If later supplied, use a 1/e² intensity radius (half of the full 1/e² intensity diameter).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I₀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Gaussian temporal peak intensity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From F₀ and τ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W/cm²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Computed; no beam radii enter this conversion.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γ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Material-specific Keldysh parameter</w:t>
            </w:r>
          </w:p>
        </w:tc>
        <w:tc>
          <w:tcPr>
            <w:tcW w:type="dxa" w:w="29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From λ, I₀, n₀, E_g, and mᵣ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5"/>
              </w:rPr>
              <w:t>Dimensionless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Computed.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3. ZnS Refractive-Index and Optical-Branch Logic</w:t>
      </w:r>
    </w:p>
    <w:p>
      <w:r>
        <w:t>For mat_flag = 2, material_flag1() calculates n₀ = √(n²) from the following wavelength-dependent expression, with λ in µm:</w:t>
      </w:r>
    </w:p>
    <w:p>
      <w:pPr>
        <w:jc w:val="center"/>
      </w:pPr>
      <w:r>
        <w:t>n² = 8.393 + 0.14383/(λ²−0.2421²) + 4430.99/(λ²−36.71²)</w:t>
      </w:r>
    </w:p>
    <w:p>
      <w:r>
        <w:t>For λ &lt; 2 µm, n₂ = 6.8×10⁻¹⁹ m²/W and R = 0.38251; for λ ≥ 2 µm, n₂ = 4.0×10⁻¹⁹ m²/W and R = 0.26693. The script then computes the interface transmission factor as T = 1 − R.</w:t>
      </w:r>
    </w:p>
    <w:p>
      <w:pPr>
        <w:pStyle w:val="Heading1"/>
      </w:pPr>
      <w:r>
        <w:t>4. Enabled NIR and LWIR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Case input</w:t>
            </w:r>
          </w:p>
        </w:tc>
        <w:tc>
          <w:tcPr>
            <w:tcW w:type="dxa" w:w="28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Code value</w:t>
            </w:r>
          </w:p>
        </w:tc>
        <w:tc>
          <w:tcPr>
            <w:tcW w:type="dxa" w:w="648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Status / note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wavelength λ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0.8 µm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 get_cases().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duration 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100 fs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intensity FWHM.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fluence F₀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0.170 J/cm²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peak fluence.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beam radius 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 beam radius 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wavelength λ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9.2 µm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 get_cases().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duration τ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2000 fs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intensity FWHM.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fluence F₀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1.19 J/cm²</w:t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Assigned peak fluence.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beam radius a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 beam radius b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64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left blank. Any future value must use the 1/e² intensity-radius convention.</w:t>
            </w:r>
          </w:p>
        </w:tc>
      </w:tr>
    </w:tbl>
    <w:p>
      <w:pPr>
        <w:spacing w:after="0"/>
      </w:pPr>
      <w:r/>
    </w:p>
    <w:p>
      <w:r>
        <w:t>Peak intensity is computed from the Gaussian-pulse relation I₀ = (2F₀/τ)√[ln(2)/π]. The case-specific γ values below are then computed with this material's n₀, E_g, and mᵣ.</w:t>
      </w:r>
    </w:p>
    <w:p>
      <w:pPr>
        <w:pStyle w:val="Heading1"/>
      </w:pPr>
      <w:r>
        <w:t>5. Derived Case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Condition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n₀ / n₂ (m²/W)</w:t>
            </w:r>
          </w:p>
        </w:tc>
        <w:tc>
          <w:tcPr>
            <w:tcW w:type="dxa" w:w="21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 / T</w:t>
            </w:r>
          </w:p>
        </w:tc>
        <w:tc>
          <w:tcPr>
            <w:tcW w:type="dxa" w:w="360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I₀ (W/cm²) / γ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NIR: 0.8 µm, 100 fs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2.31319 / 6.8×10⁻¹⁹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0.38251 / 0.61749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1.59704×10¹² / 3.85143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LWIR: 9.2 µm, 2000 fs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2.21051 / 4.0×10⁻¹⁹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0.26693 / 0.73307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5.58965×10¹¹ / 0.553390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Assignment status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n₀ computed; n₂ assigned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 assigned; T computed</w:t>
            </w:r>
          </w:p>
        </w:tc>
        <w:tc>
          <w:tcPr>
            <w:tcW w:type="dxa" w:w="36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I₀ and γ computed</w:t>
            </w:r>
          </w:p>
        </w:tc>
      </w:tr>
    </w:tbl>
    <w:p>
      <w:pPr>
        <w:spacing w:after="0"/>
      </w:pPr>
      <w:r/>
    </w:p>
    <w:p>
      <w:r>
        <w:t>The reported n₀, T, I₀, and γ values are derived outputs, not independent input assignments. Values are rounded for documentation; the script uses its full floating-point results.</w:t>
      </w:r>
    </w:p>
    <w:p>
      <w:pPr>
        <w:pStyle w:val="Heading1"/>
      </w:pPr>
      <w:r>
        <w:t>6. Missing Inputs and Model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Requested / related field</w:t>
            </w:r>
          </w:p>
        </w:tc>
        <w:tc>
          <w:tcPr>
            <w:tcW w:type="dxa" w:w="172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Value in various code</w:t>
            </w:r>
          </w:p>
        </w:tc>
        <w:tc>
          <w:tcPr>
            <w:tcW w:type="dxa" w:w="446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Interpretation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Binding energy ε_b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present and not used by the Keldysh/avalanche workflow.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Valence-band density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present and not used as a model input.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Beam radii a and b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present; fluence is supplied directly, so the fields remain blank. Any future radii must use the 1/e² intensity convention.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Propagation and losses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Not modeled</w:t>
            </w:r>
          </w:p>
        </w:tc>
        <w:tc>
          <w:tcPr>
            <w:tcW w:type="dxa" w:w="44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The zero-D workflow neglects propagation, depletion, saturation, recombination, and trapping.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7. Source and Code Traceability</w:t>
      </w:r>
    </w:p>
    <w:p>
      <w:pPr>
        <w:ind w:left="259" w:hanging="259"/>
      </w:pPr>
      <w:r>
        <w:rPr>
          <w:b/>
        </w:rPr>
        <w:t>• Source script: Keldsyh_II_various.py, material_flag1(), lines 121–202.</w:t>
      </w:r>
    </w:p>
    <w:p>
      <w:pPr>
        <w:ind w:left="259" w:hanging="259"/>
      </w:pPr>
      <w:r>
        <w:rPr>
          <w:b/>
        </w:rPr>
        <w:t>• Enabled cases: get_cases(), lines 209–260.</w:t>
      </w:r>
    </w:p>
    <w:p>
      <w:pPr>
        <w:ind w:left="259" w:hanging="259"/>
      </w:pPr>
      <w:r>
        <w:rPr>
          <w:b/>
        </w:rPr>
        <w:t>• Fluence-to-peak-intensity relation: peak_intensity_from_fluence_wm2(), beginning at line 267.</w:t>
      </w:r>
    </w:p>
    <w:p>
      <w:pPr>
        <w:ind w:left="259" w:hanging="259"/>
      </w:pPr>
      <w:r>
        <w:rPr>
          <w:b/>
        </w:rPr>
        <w:t>• Electric-field and Keldysh-rate convention: keldysh_full_rate_m3_s(), beginning at line 413.</w:t>
      </w:r>
    </w:p>
    <w:p>
      <w:pPr>
        <w:ind w:left="259" w:hanging="259"/>
      </w:pPr>
      <w:r>
        <w:rPr>
          <w:b/>
        </w:rPr>
        <w:t>• The comparison plot's secondary γ axis uses ZnS as a common reference, but each material's Keldysh photoionization rate uses its own n₀, E_g, and mᵣ.</w:t>
      </w:r>
    </w:p>
    <w:p>
      <w:pPr>
        <w:ind w:left="259" w:hanging="259"/>
      </w:pPr>
      <w:r>
        <w:rPr>
          <w:b/>
        </w:rPr>
        <w:t>• The source script contains no literature citations for these hard-coded material values; this document records code provenance and does not upgrade an assignment into a verified material constant.</w:t>
      </w:r>
    </w:p>
    <w:p>
      <w:r>
        <w:t>Concluding input note: this specification reproduces the ZnS values and logic presently used by Keldsyh_II_various.py. Verify the hard-coded band gap, reduced mass, dispersion, n₂, reflectance, and experimental fluences before treating the results as publication-grade material predictions.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