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00" w:before="0" w:after="120"/>
        <w:jc w:val="center"/>
      </w:pPr>
      <w:r>
        <w:rPr>
          <w:rFonts w:ascii="微软雅黑" w:hAnsi="微软雅黑" w:eastAsia="微软雅黑"/>
          <w:b/>
          <w:sz w:val="32"/>
        </w:rPr>
        <w:t>中国软件行业发展分析报告</w:t>
      </w:r>
    </w:p>
    <w:p>
      <w:pPr>
        <w:spacing w:lineRule="exact" w:line="400" w:before="160" w:after="40"/>
      </w:pPr>
      <w:r>
        <w:rPr>
          <w:rFonts w:ascii="微软雅黑" w:hAnsi="微软雅黑" w:eastAsia="微软雅黑"/>
          <w:b/>
          <w:sz w:val="24"/>
        </w:rPr>
        <w:t>一、引言</w:t>
      </w:r>
    </w:p>
    <w:p>
      <w:pPr>
        <w:spacing w:lineRule="exact" w:line="400" w:before="0" w:after="0"/>
        <w:ind w:firstLine="480"/>
      </w:pPr>
      <w:r>
        <w:rPr>
          <w:rFonts w:ascii="宋体" w:hAnsi="宋体" w:eastAsia="宋体"/>
          <w:b w:val="0"/>
          <w:sz w:val="24"/>
        </w:rPr>
        <w:t>软件是新一代信息技术的灵魂，也是数字经济发展的基础支撑。从操作系统、数据库到工业软件、行业应用，软件的自主程度直接决定了一个国家在数字化进程中的话语权。工业和信息化部发布的《2025年软件业运行情况》显示，2025年我国软件和信息技术服务业（以下简称软件业）运行态势良好，软件业务收入达到154831亿元，同比增长13.2%。本文以该组官方数据为基础，梳理我国软件行业的发展现状与主要成就，分析仍然存在的问题，判断未来的发展方向，最后结合本人的专业学习与职业规划谈几点思考。</w:t>
      </w:r>
    </w:p>
    <w:p>
      <w:pPr>
        <w:spacing w:lineRule="exact" w:line="400" w:before="160" w:after="40"/>
      </w:pPr>
      <w:r>
        <w:rPr>
          <w:rFonts w:ascii="微软雅黑" w:hAnsi="微软雅黑" w:eastAsia="微软雅黑"/>
          <w:b/>
          <w:sz w:val="24"/>
        </w:rPr>
        <w:t>二、中国软件行业发展现状</w:t>
      </w:r>
    </w:p>
    <w:p>
      <w:pPr>
        <w:spacing w:lineRule="exact" w:line="400" w:before="80" w:after="0"/>
        <w:ind w:firstLine="480"/>
      </w:pPr>
      <w:r>
        <w:rPr>
          <w:rFonts w:ascii="微软雅黑" w:hAnsi="微软雅黑" w:eastAsia="微软雅黑"/>
          <w:b w:val="0"/>
          <w:sz w:val="24"/>
        </w:rPr>
        <w:t>（一）产业规模持续扩大</w:t>
      </w:r>
    </w:p>
    <w:p>
      <w:pPr>
        <w:spacing w:lineRule="exact" w:line="400" w:before="0" w:after="0"/>
        <w:ind w:firstLine="480"/>
      </w:pPr>
      <w:r>
        <w:rPr>
          <w:rFonts w:ascii="宋体" w:hAnsi="宋体" w:eastAsia="宋体"/>
          <w:b w:val="0"/>
          <w:sz w:val="24"/>
        </w:rPr>
        <w:t>2025年，我国软件业务收入154831亿元，同比增长13.2%；软件业利润总额18848亿元，同比增长7.3%；软件业务出口627.3亿美元，同比增长7.7%，增速连续10个月保持正增长。从总量看，软件业已是国民经济中少有的连续多年保持两位数增长的万亿级产业；从效益看，行业利润率约为12.2%，在主要工业门类中处于较高水平。</w:t>
      </w:r>
    </w:p>
    <w:p>
      <w:pPr>
        <w:spacing w:lineRule="exact" w:line="400" w:before="80" w:after="0"/>
        <w:ind w:firstLine="480"/>
      </w:pPr>
      <w:r>
        <w:rPr>
          <w:rFonts w:ascii="微软雅黑" w:hAnsi="微软雅黑" w:eastAsia="微软雅黑"/>
          <w:b w:val="0"/>
          <w:sz w:val="24"/>
        </w:rPr>
        <w:t>（二）产业结构呈现明显的服务化特征</w:t>
      </w:r>
    </w:p>
    <w:p>
      <w:pPr>
        <w:spacing w:lineRule="exact" w:line="400" w:before="0" w:after="0"/>
        <w:ind w:firstLine="480"/>
      </w:pPr>
      <w:r>
        <w:rPr>
          <w:rFonts w:ascii="宋体" w:hAnsi="宋体" w:eastAsia="宋体"/>
          <w:b w:val="0"/>
          <w:sz w:val="24"/>
        </w:rPr>
        <w:t>2025年，信息技术服务收入106366亿元，同比增长14.7%，占全行业收入的68.7%；软件产品收入32361亿元，同比增长10.4%，占比20.9%；嵌入式系统软件收入13869亿元，同比增长9.3%；信息安全产品和服务收入2235亿元，同比增长6.7%。主要指标见表1，其中占比为占全行业收入的比重，基础软件与工业软件为软件产品的细分项。</w:t>
      </w:r>
    </w:p>
    <w:p>
      <w:pPr>
        <w:spacing w:lineRule="exact" w:line="400" w:before="80" w:after="40"/>
        <w:jc w:val="center"/>
      </w:pPr>
      <w:r>
        <w:rPr>
          <w:rFonts w:ascii="微软雅黑" w:hAnsi="微软雅黑" w:eastAsia="微软雅黑"/>
          <w:b w:val="0"/>
          <w:sz w:val="24"/>
        </w:rPr>
        <w:t>表1　2025年我国软件业主要指标</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88"/>
        <w:gridCol w:w="2041"/>
        <w:gridCol w:w="1587"/>
        <w:gridCol w:w="1361"/>
      </w:tblGrid>
      <w:tr>
        <w:tc>
          <w:tcPr>
            <w:tcW w:type="dxa" w:w="3288"/>
            <w:vAlign w:val="center"/>
            <w:shd w:val="clear" w:fill="F2F2F2"/>
          </w:tcPr>
          <w:p>
            <w:pPr>
              <w:spacing w:line="240" w:lineRule="auto" w:before="20" w:after="20"/>
              <w:ind w:firstLine="0"/>
              <w:jc w:val="center"/>
            </w:pPr>
            <w:r>
              <w:rPr>
                <w:rFonts w:ascii="宋体" w:hAnsi="宋体" w:eastAsia="宋体"/>
                <w:b/>
                <w:sz w:val="21"/>
              </w:rPr>
              <w:t>指标</w:t>
            </w:r>
          </w:p>
        </w:tc>
        <w:tc>
          <w:tcPr>
            <w:tcW w:type="dxa" w:w="2041"/>
            <w:vAlign w:val="center"/>
            <w:shd w:val="clear" w:fill="F2F2F2"/>
          </w:tcPr>
          <w:p>
            <w:pPr>
              <w:spacing w:line="240" w:lineRule="auto" w:before="20" w:after="20"/>
              <w:ind w:firstLine="0"/>
              <w:jc w:val="center"/>
            </w:pPr>
            <w:r>
              <w:rPr>
                <w:rFonts w:ascii="宋体" w:hAnsi="宋体" w:eastAsia="宋体"/>
                <w:b/>
                <w:sz w:val="21"/>
              </w:rPr>
              <w:t>收入（亿元）</w:t>
            </w:r>
          </w:p>
        </w:tc>
        <w:tc>
          <w:tcPr>
            <w:tcW w:type="dxa" w:w="1587"/>
            <w:vAlign w:val="center"/>
            <w:shd w:val="clear" w:fill="F2F2F2"/>
          </w:tcPr>
          <w:p>
            <w:pPr>
              <w:spacing w:line="240" w:lineRule="auto" w:before="20" w:after="20"/>
              <w:ind w:firstLine="0"/>
              <w:jc w:val="center"/>
            </w:pPr>
            <w:r>
              <w:rPr>
                <w:rFonts w:ascii="宋体" w:hAnsi="宋体" w:eastAsia="宋体"/>
                <w:b/>
                <w:sz w:val="21"/>
              </w:rPr>
              <w:t>同比增速</w:t>
            </w:r>
          </w:p>
        </w:tc>
        <w:tc>
          <w:tcPr>
            <w:tcW w:type="dxa" w:w="1361"/>
            <w:vAlign w:val="center"/>
            <w:shd w:val="clear" w:fill="F2F2F2"/>
          </w:tcPr>
          <w:p>
            <w:pPr>
              <w:spacing w:line="240" w:lineRule="auto" w:before="20" w:after="20"/>
              <w:ind w:firstLine="0"/>
              <w:jc w:val="center"/>
            </w:pPr>
            <w:r>
              <w:rPr>
                <w:rFonts w:ascii="宋体" w:hAnsi="宋体" w:eastAsia="宋体"/>
                <w:b/>
                <w:sz w:val="21"/>
              </w:rPr>
              <w:t>占比</w:t>
            </w:r>
          </w:p>
        </w:tc>
      </w:tr>
      <w:tr>
        <w:tc>
          <w:tcPr>
            <w:tcW w:type="dxa" w:w="3288"/>
            <w:vAlign w:val="center"/>
          </w:tcPr>
          <w:p>
            <w:pPr>
              <w:spacing w:line="240" w:lineRule="auto" w:before="20" w:after="20"/>
              <w:ind w:firstLine="0"/>
              <w:jc w:val="center"/>
            </w:pPr>
            <w:r>
              <w:rPr>
                <w:rFonts w:ascii="宋体" w:hAnsi="宋体" w:eastAsia="宋体"/>
                <w:b w:val="0"/>
                <w:sz w:val="21"/>
              </w:rPr>
              <w:t>软件业务收入</w:t>
            </w:r>
          </w:p>
        </w:tc>
        <w:tc>
          <w:tcPr>
            <w:tcW w:type="dxa" w:w="2041"/>
            <w:vAlign w:val="center"/>
          </w:tcPr>
          <w:p>
            <w:pPr>
              <w:spacing w:line="240" w:lineRule="auto" w:before="20" w:after="20"/>
              <w:ind w:firstLine="0"/>
              <w:jc w:val="center"/>
            </w:pPr>
            <w:r>
              <w:rPr>
                <w:rFonts w:ascii="宋体" w:hAnsi="宋体" w:eastAsia="宋体"/>
                <w:b w:val="0"/>
                <w:sz w:val="21"/>
              </w:rPr>
              <w:t>154831</w:t>
            </w:r>
          </w:p>
        </w:tc>
        <w:tc>
          <w:tcPr>
            <w:tcW w:type="dxa" w:w="1587"/>
            <w:vAlign w:val="center"/>
          </w:tcPr>
          <w:p>
            <w:pPr>
              <w:spacing w:line="240" w:lineRule="auto" w:before="20" w:after="20"/>
              <w:ind w:firstLine="0"/>
              <w:jc w:val="center"/>
            </w:pPr>
            <w:r>
              <w:rPr>
                <w:rFonts w:ascii="宋体" w:hAnsi="宋体" w:eastAsia="宋体"/>
                <w:b w:val="0"/>
                <w:sz w:val="21"/>
              </w:rPr>
              <w:t>13.2%</w:t>
            </w:r>
          </w:p>
        </w:tc>
        <w:tc>
          <w:tcPr>
            <w:tcW w:type="dxa" w:w="1361"/>
            <w:vAlign w:val="center"/>
          </w:tcPr>
          <w:p>
            <w:pPr>
              <w:spacing w:line="240" w:lineRule="auto" w:before="20" w:after="20"/>
              <w:ind w:firstLine="0"/>
              <w:jc w:val="center"/>
            </w:pPr>
            <w:r>
              <w:rPr>
                <w:rFonts w:ascii="宋体" w:hAnsi="宋体" w:eastAsia="宋体"/>
                <w:b w:val="0"/>
                <w:sz w:val="21"/>
              </w:rPr>
              <w:t>100%</w:t>
            </w:r>
          </w:p>
        </w:tc>
      </w:tr>
      <w:tr>
        <w:tc>
          <w:tcPr>
            <w:tcW w:type="dxa" w:w="3288"/>
            <w:vAlign w:val="center"/>
          </w:tcPr>
          <w:p>
            <w:pPr>
              <w:spacing w:line="240" w:lineRule="auto" w:before="20" w:after="20"/>
              <w:ind w:firstLine="0"/>
              <w:jc w:val="center"/>
            </w:pPr>
            <w:r>
              <w:rPr>
                <w:rFonts w:ascii="宋体" w:hAnsi="宋体" w:eastAsia="宋体"/>
                <w:b w:val="0"/>
                <w:sz w:val="21"/>
              </w:rPr>
              <w:t>软件产品</w:t>
            </w:r>
          </w:p>
        </w:tc>
        <w:tc>
          <w:tcPr>
            <w:tcW w:type="dxa" w:w="2041"/>
            <w:vAlign w:val="center"/>
          </w:tcPr>
          <w:p>
            <w:pPr>
              <w:spacing w:line="240" w:lineRule="auto" w:before="20" w:after="20"/>
              <w:ind w:firstLine="0"/>
              <w:jc w:val="center"/>
            </w:pPr>
            <w:r>
              <w:rPr>
                <w:rFonts w:ascii="宋体" w:hAnsi="宋体" w:eastAsia="宋体"/>
                <w:b w:val="0"/>
                <w:sz w:val="21"/>
              </w:rPr>
              <w:t>32361</w:t>
            </w:r>
          </w:p>
        </w:tc>
        <w:tc>
          <w:tcPr>
            <w:tcW w:type="dxa" w:w="1587"/>
            <w:vAlign w:val="center"/>
          </w:tcPr>
          <w:p>
            <w:pPr>
              <w:spacing w:line="240" w:lineRule="auto" w:before="20" w:after="20"/>
              <w:ind w:firstLine="0"/>
              <w:jc w:val="center"/>
            </w:pPr>
            <w:r>
              <w:rPr>
                <w:rFonts w:ascii="宋体" w:hAnsi="宋体" w:eastAsia="宋体"/>
                <w:b w:val="0"/>
                <w:sz w:val="21"/>
              </w:rPr>
              <w:t>10.4%</w:t>
            </w:r>
          </w:p>
        </w:tc>
        <w:tc>
          <w:tcPr>
            <w:tcW w:type="dxa" w:w="1361"/>
            <w:vAlign w:val="center"/>
          </w:tcPr>
          <w:p>
            <w:pPr>
              <w:spacing w:line="240" w:lineRule="auto" w:before="20" w:after="20"/>
              <w:ind w:firstLine="0"/>
              <w:jc w:val="center"/>
            </w:pPr>
            <w:r>
              <w:rPr>
                <w:rFonts w:ascii="宋体" w:hAnsi="宋体" w:eastAsia="宋体"/>
                <w:b w:val="0"/>
                <w:sz w:val="21"/>
              </w:rPr>
              <w:t>20.9%</w:t>
            </w:r>
          </w:p>
        </w:tc>
      </w:tr>
      <w:tr>
        <w:tc>
          <w:tcPr>
            <w:tcW w:type="dxa" w:w="3288"/>
            <w:vAlign w:val="center"/>
          </w:tcPr>
          <w:p>
            <w:pPr>
              <w:spacing w:line="240" w:lineRule="auto" w:before="20" w:after="20"/>
              <w:ind w:firstLine="0"/>
              <w:jc w:val="center"/>
            </w:pPr>
            <w:r>
              <w:rPr>
                <w:rFonts w:ascii="宋体" w:hAnsi="宋体" w:eastAsia="宋体"/>
                <w:b w:val="0"/>
                <w:sz w:val="21"/>
              </w:rPr>
              <w:t>其中：基础软件</w:t>
            </w:r>
          </w:p>
        </w:tc>
        <w:tc>
          <w:tcPr>
            <w:tcW w:type="dxa" w:w="2041"/>
            <w:vAlign w:val="center"/>
          </w:tcPr>
          <w:p>
            <w:pPr>
              <w:spacing w:line="240" w:lineRule="auto" w:before="20" w:after="20"/>
              <w:ind w:firstLine="0"/>
              <w:jc w:val="center"/>
            </w:pPr>
            <w:r>
              <w:rPr>
                <w:rFonts w:ascii="宋体" w:hAnsi="宋体" w:eastAsia="宋体"/>
                <w:b w:val="0"/>
                <w:sz w:val="21"/>
              </w:rPr>
              <w:t>2146</w:t>
            </w:r>
          </w:p>
        </w:tc>
        <w:tc>
          <w:tcPr>
            <w:tcW w:type="dxa" w:w="1587"/>
            <w:vAlign w:val="center"/>
          </w:tcPr>
          <w:p>
            <w:pPr>
              <w:spacing w:line="240" w:lineRule="auto" w:before="20" w:after="20"/>
              <w:ind w:firstLine="0"/>
              <w:jc w:val="center"/>
            </w:pPr>
            <w:r>
              <w:rPr>
                <w:rFonts w:ascii="宋体" w:hAnsi="宋体" w:eastAsia="宋体"/>
                <w:b w:val="0"/>
                <w:sz w:val="21"/>
              </w:rPr>
              <w:t>11.1%</w:t>
            </w:r>
          </w:p>
        </w:tc>
        <w:tc>
          <w:tcPr>
            <w:tcW w:type="dxa" w:w="1361"/>
            <w:vAlign w:val="center"/>
          </w:tcPr>
          <w:p>
            <w:pPr>
              <w:spacing w:line="240" w:lineRule="auto" w:before="20" w:after="20"/>
              <w:ind w:firstLine="0"/>
              <w:jc w:val="center"/>
            </w:pPr>
            <w:r>
              <w:rPr>
                <w:rFonts w:ascii="宋体" w:hAnsi="宋体" w:eastAsia="宋体"/>
                <w:b w:val="0"/>
                <w:sz w:val="21"/>
              </w:rPr>
              <w:t>1.4%</w:t>
            </w:r>
          </w:p>
        </w:tc>
      </w:tr>
      <w:tr>
        <w:tc>
          <w:tcPr>
            <w:tcW w:type="dxa" w:w="3288"/>
            <w:vAlign w:val="center"/>
          </w:tcPr>
          <w:p>
            <w:pPr>
              <w:spacing w:line="240" w:lineRule="auto" w:before="20" w:after="20"/>
              <w:ind w:firstLine="0"/>
              <w:jc w:val="center"/>
            </w:pPr>
            <w:r>
              <w:rPr>
                <w:rFonts w:ascii="宋体" w:hAnsi="宋体" w:eastAsia="宋体"/>
                <w:b w:val="0"/>
                <w:sz w:val="21"/>
              </w:rPr>
              <w:t>其中：工业软件</w:t>
            </w:r>
          </w:p>
        </w:tc>
        <w:tc>
          <w:tcPr>
            <w:tcW w:type="dxa" w:w="2041"/>
            <w:vAlign w:val="center"/>
          </w:tcPr>
          <w:p>
            <w:pPr>
              <w:spacing w:line="240" w:lineRule="auto" w:before="20" w:after="20"/>
              <w:ind w:firstLine="0"/>
              <w:jc w:val="center"/>
            </w:pPr>
            <w:r>
              <w:rPr>
                <w:rFonts w:ascii="宋体" w:hAnsi="宋体" w:eastAsia="宋体"/>
                <w:b w:val="0"/>
                <w:sz w:val="21"/>
              </w:rPr>
              <w:t>3330</w:t>
            </w:r>
          </w:p>
        </w:tc>
        <w:tc>
          <w:tcPr>
            <w:tcW w:type="dxa" w:w="1587"/>
            <w:vAlign w:val="center"/>
          </w:tcPr>
          <w:p>
            <w:pPr>
              <w:spacing w:line="240" w:lineRule="auto" w:before="20" w:after="20"/>
              <w:ind w:firstLine="0"/>
              <w:jc w:val="center"/>
            </w:pPr>
            <w:r>
              <w:rPr>
                <w:rFonts w:ascii="宋体" w:hAnsi="宋体" w:eastAsia="宋体"/>
                <w:b w:val="0"/>
                <w:sz w:val="21"/>
              </w:rPr>
              <w:t>9.7%</w:t>
            </w:r>
          </w:p>
        </w:tc>
        <w:tc>
          <w:tcPr>
            <w:tcW w:type="dxa" w:w="1361"/>
            <w:vAlign w:val="center"/>
          </w:tcPr>
          <w:p>
            <w:pPr>
              <w:spacing w:line="240" w:lineRule="auto" w:before="20" w:after="20"/>
              <w:ind w:firstLine="0"/>
              <w:jc w:val="center"/>
            </w:pPr>
            <w:r>
              <w:rPr>
                <w:rFonts w:ascii="宋体" w:hAnsi="宋体" w:eastAsia="宋体"/>
                <w:b w:val="0"/>
                <w:sz w:val="21"/>
              </w:rPr>
              <w:t>2.2%</w:t>
            </w:r>
          </w:p>
        </w:tc>
      </w:tr>
      <w:tr>
        <w:tc>
          <w:tcPr>
            <w:tcW w:type="dxa" w:w="3288"/>
            <w:vAlign w:val="center"/>
          </w:tcPr>
          <w:p>
            <w:pPr>
              <w:spacing w:line="240" w:lineRule="auto" w:before="20" w:after="20"/>
              <w:ind w:firstLine="0"/>
              <w:jc w:val="center"/>
            </w:pPr>
            <w:r>
              <w:rPr>
                <w:rFonts w:ascii="宋体" w:hAnsi="宋体" w:eastAsia="宋体"/>
                <w:b w:val="0"/>
                <w:sz w:val="21"/>
              </w:rPr>
              <w:t>信息技术服务</w:t>
            </w:r>
          </w:p>
        </w:tc>
        <w:tc>
          <w:tcPr>
            <w:tcW w:type="dxa" w:w="2041"/>
            <w:vAlign w:val="center"/>
          </w:tcPr>
          <w:p>
            <w:pPr>
              <w:spacing w:line="240" w:lineRule="auto" w:before="20" w:after="20"/>
              <w:ind w:firstLine="0"/>
              <w:jc w:val="center"/>
            </w:pPr>
            <w:r>
              <w:rPr>
                <w:rFonts w:ascii="宋体" w:hAnsi="宋体" w:eastAsia="宋体"/>
                <w:b w:val="0"/>
                <w:sz w:val="21"/>
              </w:rPr>
              <w:t>106366</w:t>
            </w:r>
          </w:p>
        </w:tc>
        <w:tc>
          <w:tcPr>
            <w:tcW w:type="dxa" w:w="1587"/>
            <w:vAlign w:val="center"/>
          </w:tcPr>
          <w:p>
            <w:pPr>
              <w:spacing w:line="240" w:lineRule="auto" w:before="20" w:after="20"/>
              <w:ind w:firstLine="0"/>
              <w:jc w:val="center"/>
            </w:pPr>
            <w:r>
              <w:rPr>
                <w:rFonts w:ascii="宋体" w:hAnsi="宋体" w:eastAsia="宋体"/>
                <w:b w:val="0"/>
                <w:sz w:val="21"/>
              </w:rPr>
              <w:t>14.7%</w:t>
            </w:r>
          </w:p>
        </w:tc>
        <w:tc>
          <w:tcPr>
            <w:tcW w:type="dxa" w:w="1361"/>
            <w:vAlign w:val="center"/>
          </w:tcPr>
          <w:p>
            <w:pPr>
              <w:spacing w:line="240" w:lineRule="auto" w:before="20" w:after="20"/>
              <w:ind w:firstLine="0"/>
              <w:jc w:val="center"/>
            </w:pPr>
            <w:r>
              <w:rPr>
                <w:rFonts w:ascii="宋体" w:hAnsi="宋体" w:eastAsia="宋体"/>
                <w:b w:val="0"/>
                <w:sz w:val="21"/>
              </w:rPr>
              <w:t>68.7%</w:t>
            </w:r>
          </w:p>
        </w:tc>
      </w:tr>
      <w:tr>
        <w:tc>
          <w:tcPr>
            <w:tcW w:type="dxa" w:w="3288"/>
            <w:vAlign w:val="center"/>
          </w:tcPr>
          <w:p>
            <w:pPr>
              <w:spacing w:line="240" w:lineRule="auto" w:before="20" w:after="20"/>
              <w:ind w:firstLine="0"/>
              <w:jc w:val="center"/>
            </w:pPr>
            <w:r>
              <w:rPr>
                <w:rFonts w:ascii="宋体" w:hAnsi="宋体" w:eastAsia="宋体"/>
                <w:b w:val="0"/>
                <w:sz w:val="21"/>
              </w:rPr>
              <w:t>信息安全</w:t>
            </w:r>
          </w:p>
        </w:tc>
        <w:tc>
          <w:tcPr>
            <w:tcW w:type="dxa" w:w="2041"/>
            <w:vAlign w:val="center"/>
          </w:tcPr>
          <w:p>
            <w:pPr>
              <w:spacing w:line="240" w:lineRule="auto" w:before="20" w:after="20"/>
              <w:ind w:firstLine="0"/>
              <w:jc w:val="center"/>
            </w:pPr>
            <w:r>
              <w:rPr>
                <w:rFonts w:ascii="宋体" w:hAnsi="宋体" w:eastAsia="宋体"/>
                <w:b w:val="0"/>
                <w:sz w:val="21"/>
              </w:rPr>
              <w:t>2235</w:t>
            </w:r>
          </w:p>
        </w:tc>
        <w:tc>
          <w:tcPr>
            <w:tcW w:type="dxa" w:w="1587"/>
            <w:vAlign w:val="center"/>
          </w:tcPr>
          <w:p>
            <w:pPr>
              <w:spacing w:line="240" w:lineRule="auto" w:before="20" w:after="20"/>
              <w:ind w:firstLine="0"/>
              <w:jc w:val="center"/>
            </w:pPr>
            <w:r>
              <w:rPr>
                <w:rFonts w:ascii="宋体" w:hAnsi="宋体" w:eastAsia="宋体"/>
                <w:b w:val="0"/>
                <w:sz w:val="21"/>
              </w:rPr>
              <w:t>6.7%</w:t>
            </w:r>
          </w:p>
        </w:tc>
        <w:tc>
          <w:tcPr>
            <w:tcW w:type="dxa" w:w="1361"/>
            <w:vAlign w:val="center"/>
          </w:tcPr>
          <w:p>
            <w:pPr>
              <w:spacing w:line="240" w:lineRule="auto" w:before="20" w:after="20"/>
              <w:ind w:firstLine="0"/>
              <w:jc w:val="center"/>
            </w:pPr>
            <w:r>
              <w:rPr>
                <w:rFonts w:ascii="宋体" w:hAnsi="宋体" w:eastAsia="宋体"/>
                <w:b w:val="0"/>
                <w:sz w:val="21"/>
              </w:rPr>
              <w:t>1.4%</w:t>
            </w:r>
          </w:p>
        </w:tc>
      </w:tr>
      <w:tr>
        <w:tc>
          <w:tcPr>
            <w:tcW w:type="dxa" w:w="3288"/>
            <w:vAlign w:val="center"/>
          </w:tcPr>
          <w:p>
            <w:pPr>
              <w:spacing w:line="240" w:lineRule="auto" w:before="20" w:after="20"/>
              <w:ind w:firstLine="0"/>
              <w:jc w:val="center"/>
            </w:pPr>
            <w:r>
              <w:rPr>
                <w:rFonts w:ascii="宋体" w:hAnsi="宋体" w:eastAsia="宋体"/>
                <w:b w:val="0"/>
                <w:sz w:val="21"/>
              </w:rPr>
              <w:t>嵌入式系统软件</w:t>
            </w:r>
          </w:p>
        </w:tc>
        <w:tc>
          <w:tcPr>
            <w:tcW w:type="dxa" w:w="2041"/>
            <w:vAlign w:val="center"/>
          </w:tcPr>
          <w:p>
            <w:pPr>
              <w:spacing w:line="240" w:lineRule="auto" w:before="20" w:after="20"/>
              <w:ind w:firstLine="0"/>
              <w:jc w:val="center"/>
            </w:pPr>
            <w:r>
              <w:rPr>
                <w:rFonts w:ascii="宋体" w:hAnsi="宋体" w:eastAsia="宋体"/>
                <w:b w:val="0"/>
                <w:sz w:val="21"/>
              </w:rPr>
              <w:t>13869</w:t>
            </w:r>
          </w:p>
        </w:tc>
        <w:tc>
          <w:tcPr>
            <w:tcW w:type="dxa" w:w="1587"/>
            <w:vAlign w:val="center"/>
          </w:tcPr>
          <w:p>
            <w:pPr>
              <w:spacing w:line="240" w:lineRule="auto" w:before="20" w:after="20"/>
              <w:ind w:firstLine="0"/>
              <w:jc w:val="center"/>
            </w:pPr>
            <w:r>
              <w:rPr>
                <w:rFonts w:ascii="宋体" w:hAnsi="宋体" w:eastAsia="宋体"/>
                <w:b w:val="0"/>
                <w:sz w:val="21"/>
              </w:rPr>
              <w:t>9.3%</w:t>
            </w:r>
          </w:p>
        </w:tc>
        <w:tc>
          <w:tcPr>
            <w:tcW w:type="dxa" w:w="1361"/>
            <w:vAlign w:val="center"/>
          </w:tcPr>
          <w:p>
            <w:pPr>
              <w:spacing w:line="240" w:lineRule="auto" w:before="20" w:after="20"/>
              <w:ind w:firstLine="0"/>
              <w:jc w:val="center"/>
            </w:pPr>
            <w:r>
              <w:rPr>
                <w:rFonts w:ascii="宋体" w:hAnsi="宋体" w:eastAsia="宋体"/>
                <w:b w:val="0"/>
                <w:sz w:val="21"/>
              </w:rPr>
              <w:t>9.0%</w:t>
            </w:r>
          </w:p>
        </w:tc>
      </w:tr>
    </w:tbl>
    <w:p>
      <w:pPr>
        <w:spacing w:lineRule="exact" w:line="400" w:before="0" w:after="0"/>
        <w:ind w:firstLine="480"/>
      </w:pPr>
      <w:r>
        <w:rPr>
          <w:rFonts w:ascii="宋体" w:hAnsi="宋体" w:eastAsia="宋体"/>
          <w:b w:val="0"/>
          <w:sz w:val="24"/>
        </w:rPr>
        <w:t>在信息技术服务内部，云计算和大数据服务收入16230亿元，同比增长13.6%；集成电路设计收入4421亿元，同比增长18.9%，是增速最快的细分领域；电子商务平台技术服务收入14855亿元，同比增长12.7%。在软件产品内部，基础软件收入2146亿元，同比增长11.1%；工业软件产品收入3330亿元，同比增长9.7%。</w:t>
      </w:r>
    </w:p>
    <w:p>
      <w:pPr>
        <w:spacing w:lineRule="exact" w:line="400" w:before="0" w:after="0"/>
        <w:ind w:firstLine="480"/>
      </w:pPr>
      <w:r>
        <w:rPr>
          <w:rFonts w:ascii="宋体" w:hAnsi="宋体" w:eastAsia="宋体"/>
          <w:b w:val="0"/>
          <w:sz w:val="24"/>
        </w:rPr>
        <w:t>这组数据说明，我国软件业的增长主要由信息技术服务驱动，产业结构呈现“服务重、产品轻”的特征——三分之二以上的收入来自服务，作为产业根基的软件产品只占两成，其中基础软件与工业软件合计不足5500亿元。</w:t>
      </w:r>
    </w:p>
    <w:p>
      <w:pPr>
        <w:spacing w:lineRule="exact" w:line="400" w:before="80" w:after="0"/>
        <w:ind w:firstLine="480"/>
      </w:pPr>
      <w:r>
        <w:rPr>
          <w:rFonts w:ascii="微软雅黑" w:hAnsi="微软雅黑" w:eastAsia="微软雅黑"/>
          <w:b w:val="0"/>
          <w:sz w:val="24"/>
        </w:rPr>
        <w:t>（三）区域分布高度集中</w:t>
      </w:r>
    </w:p>
    <w:p>
      <w:pPr>
        <w:spacing w:lineRule="exact" w:line="400" w:before="0" w:after="0"/>
        <w:ind w:firstLine="480"/>
      </w:pPr>
      <w:r>
        <w:rPr>
          <w:rFonts w:ascii="宋体" w:hAnsi="宋体" w:eastAsia="宋体"/>
          <w:b w:val="0"/>
          <w:sz w:val="24"/>
        </w:rPr>
        <w:t>2025年，东部、中部、西部和东北地区软件业务收入同比分别增长13.6%、12.6%、10.5%和9.8%，东部地区占全国收入的83.1%。京津冀和长三角地区同比分别增长14.9%和15.2%，占全国比重分别为26.7%和28.9%。北京、广东、江苏、山东、上海居全国前五位，同比分别增长15.3%、10.9%、14.4%、11.1%和22.0%。软件产业对人才、资本和客户密度高度敏感，这种集聚效应短期内不会改变。</w:t>
      </w:r>
    </w:p>
    <w:p>
      <w:pPr>
        <w:spacing w:lineRule="exact" w:line="400" w:before="160" w:after="40"/>
      </w:pPr>
      <w:r>
        <w:rPr>
          <w:rFonts w:ascii="微软雅黑" w:hAnsi="微软雅黑" w:eastAsia="微软雅黑"/>
          <w:b/>
          <w:sz w:val="24"/>
        </w:rPr>
        <w:t>三、取得的主要成就</w:t>
      </w:r>
    </w:p>
    <w:p>
      <w:pPr>
        <w:spacing w:lineRule="exact" w:line="400" w:before="80" w:after="0"/>
        <w:ind w:firstLine="480"/>
      </w:pPr>
      <w:r>
        <w:rPr>
          <w:rFonts w:ascii="微软雅黑" w:hAnsi="微软雅黑" w:eastAsia="微软雅黑"/>
          <w:b w:val="0"/>
          <w:sz w:val="24"/>
        </w:rPr>
        <w:t>（一）基础软件实现从“无”到“有”</w:t>
      </w:r>
    </w:p>
    <w:p>
      <w:pPr>
        <w:spacing w:lineRule="exact" w:line="400" w:before="0" w:after="0"/>
        <w:ind w:firstLine="480"/>
      </w:pPr>
      <w:r>
        <w:rPr>
          <w:rFonts w:ascii="宋体" w:hAnsi="宋体" w:eastAsia="宋体"/>
          <w:b w:val="0"/>
          <w:sz w:val="24"/>
        </w:rPr>
        <w:t>操作系统方面，鸿蒙操作系统在移动与物联网场景形成了独立生态，openEuler 在服务器领域成为国内主流的开源发行版，统信 UOS、麒麟操作系统在党政办公场景规模化部署。数据库方面，openGauss、OceanBase、TiDB、达梦、人大金仓等产品在金融、电信核心系统中投入使用，部分场景已能替代国外商业数据库。中间件方面，东方通、宝兰德等厂商在应用服务器、消息中间件上形成了完整产品线。国产基础软件已经跨过“能不能用”的门槛。</w:t>
      </w:r>
    </w:p>
    <w:p>
      <w:pPr>
        <w:spacing w:lineRule="exact" w:line="400" w:before="80" w:after="0"/>
        <w:ind w:firstLine="480"/>
      </w:pPr>
      <w:r>
        <w:rPr>
          <w:rFonts w:ascii="微软雅黑" w:hAnsi="微软雅黑" w:eastAsia="微软雅黑"/>
          <w:b w:val="0"/>
          <w:sz w:val="24"/>
        </w:rPr>
        <w:t>（二）应用软件具备全球竞争力</w:t>
      </w:r>
    </w:p>
    <w:p>
      <w:pPr>
        <w:spacing w:lineRule="exact" w:line="400" w:before="0" w:after="0"/>
        <w:ind w:firstLine="480"/>
      </w:pPr>
      <w:r>
        <w:rPr>
          <w:rFonts w:ascii="宋体" w:hAnsi="宋体" w:eastAsia="宋体"/>
          <w:b w:val="0"/>
          <w:sz w:val="24"/>
        </w:rPr>
        <w:t>办公软件方面，WPS Office 在桌面与移动端形成完整产品矩阵，并通过云化支持多人协作；协同办公方面，钉钉、飞书、企业微信在组织数字化管理上形成了国外产品不具备的深度；企业管理软件方面，用友、金蝶完成了从本地部署到云订阅的转型。这些产品在国内市场站稳后，已开始向海外输出。</w:t>
      </w:r>
    </w:p>
    <w:p>
      <w:pPr>
        <w:spacing w:lineRule="exact" w:line="400" w:before="80" w:after="0"/>
        <w:ind w:firstLine="480"/>
      </w:pPr>
      <w:r>
        <w:rPr>
          <w:rFonts w:ascii="微软雅黑" w:hAnsi="微软雅黑" w:eastAsia="微软雅黑"/>
          <w:b w:val="0"/>
          <w:sz w:val="24"/>
        </w:rPr>
        <w:t>（三）云计算与平台经济全球领先</w:t>
      </w:r>
    </w:p>
    <w:p>
      <w:pPr>
        <w:spacing w:lineRule="exact" w:line="400" w:before="0" w:after="0"/>
        <w:ind w:firstLine="480"/>
      </w:pPr>
      <w:r>
        <w:rPr>
          <w:rFonts w:ascii="宋体" w:hAnsi="宋体" w:eastAsia="宋体"/>
          <w:b w:val="0"/>
          <w:sz w:val="24"/>
        </w:rPr>
        <w:t>阿里云长期位居亚太市场份额首位，华为云、腾讯云在政企市场快速扩张。2025年电子商务平台技术服务收入接近1.5万亿元，说明我国在超大规模交易场景下的软件工程能力已经成熟——能够支撑亿级用户、千万级并发，本身就是工程能力的证明。</w:t>
      </w:r>
    </w:p>
    <w:p>
      <w:pPr>
        <w:spacing w:lineRule="exact" w:line="400" w:before="80" w:after="0"/>
        <w:ind w:firstLine="480"/>
      </w:pPr>
      <w:r>
        <w:rPr>
          <w:rFonts w:ascii="微软雅黑" w:hAnsi="微软雅黑" w:eastAsia="微软雅黑"/>
          <w:b w:val="0"/>
          <w:sz w:val="24"/>
        </w:rPr>
        <w:t>（四）工业软件点状突破</w:t>
      </w:r>
    </w:p>
    <w:p>
      <w:pPr>
        <w:spacing w:lineRule="exact" w:line="400" w:before="0" w:after="0"/>
        <w:ind w:firstLine="480"/>
      </w:pPr>
      <w:r>
        <w:rPr>
          <w:rFonts w:ascii="宋体" w:hAnsi="宋体" w:eastAsia="宋体"/>
          <w:b w:val="0"/>
          <w:sz w:val="24"/>
        </w:rPr>
        <w:t>中望软件、浩辰软件在 CAD 领域形成自主产品；华天软件、索辰科技等在 CAE、PLM 方向持续投入；在集成电路设计环节，2025年设计收入同比增长18.9%，说明软件与芯片的协同正在加强。工业软件整体仍然弱小，但已在部分行业和环节实现可用替代。</w:t>
      </w:r>
    </w:p>
    <w:p>
      <w:pPr>
        <w:spacing w:lineRule="exact" w:line="400" w:before="80" w:after="0"/>
        <w:ind w:firstLine="480"/>
      </w:pPr>
      <w:r>
        <w:rPr>
          <w:rFonts w:ascii="微软雅黑" w:hAnsi="微软雅黑" w:eastAsia="微软雅黑"/>
          <w:b w:val="0"/>
          <w:sz w:val="24"/>
        </w:rPr>
        <w:t>（五）开源生态初步成型</w:t>
      </w:r>
    </w:p>
    <w:p>
      <w:pPr>
        <w:spacing w:lineRule="exact" w:line="400" w:before="0" w:after="0"/>
        <w:ind w:firstLine="480"/>
      </w:pPr>
      <w:r>
        <w:rPr>
          <w:rFonts w:ascii="宋体" w:hAnsi="宋体" w:eastAsia="宋体"/>
          <w:b w:val="0"/>
          <w:sz w:val="24"/>
        </w:rPr>
        <w:t>openEuler、OpenHarmony 等项目捐赠给开放原子开源基金会，国内企业从“使用开源”转向“贡献开源、主导开源”。开源已成为国产软件突破生态壁垒的主要路径之一。</w:t>
      </w:r>
    </w:p>
    <w:p>
      <w:pPr>
        <w:spacing w:lineRule="exact" w:line="400" w:before="160" w:after="40"/>
      </w:pPr>
      <w:r>
        <w:rPr>
          <w:rFonts w:ascii="微软雅黑" w:hAnsi="微软雅黑" w:eastAsia="微软雅黑"/>
          <w:b/>
          <w:sz w:val="24"/>
        </w:rPr>
        <w:t>四、存在的主要问题</w:t>
      </w:r>
    </w:p>
    <w:p>
      <w:pPr>
        <w:spacing w:lineRule="exact" w:line="400" w:before="80" w:after="0"/>
        <w:ind w:firstLine="480"/>
      </w:pPr>
      <w:r>
        <w:rPr>
          <w:rFonts w:ascii="微软雅黑" w:hAnsi="微软雅黑" w:eastAsia="微软雅黑"/>
          <w:b w:val="0"/>
          <w:sz w:val="24"/>
        </w:rPr>
        <w:t>（一）基础软件规模与产业体量不匹配</w:t>
      </w:r>
    </w:p>
    <w:p>
      <w:pPr>
        <w:spacing w:lineRule="exact" w:line="400" w:before="0" w:after="0"/>
        <w:ind w:firstLine="480"/>
      </w:pPr>
      <w:r>
        <w:rPr>
          <w:rFonts w:ascii="宋体" w:hAnsi="宋体" w:eastAsia="宋体"/>
          <w:b w:val="0"/>
          <w:sz w:val="24"/>
        </w:rPr>
        <w:t>2025年基础软件收入2146亿元，仅占软件产品收入的6.6%、全行业收入的1.4%，而我国软件业总规模已超过15万亿元。基础软件是典型的长周期、高投入、低回报领域，单个企业很难靠自身现金流支撑十年以上的研发；它又受制于 Wintel、ARM 加 Android 等历史形成的生态惯性，用户迁移成本极高。规模小意味着试错空间小，这是最根本的隐忧。</w:t>
      </w:r>
    </w:p>
    <w:p>
      <w:pPr>
        <w:spacing w:lineRule="exact" w:line="400" w:before="80" w:after="0"/>
        <w:ind w:firstLine="480"/>
      </w:pPr>
      <w:r>
        <w:rPr>
          <w:rFonts w:ascii="微软雅黑" w:hAnsi="微软雅黑" w:eastAsia="微软雅黑"/>
          <w:b w:val="0"/>
          <w:sz w:val="24"/>
        </w:rPr>
        <w:t>（二）工业软件短板突出</w:t>
      </w:r>
    </w:p>
    <w:p>
      <w:pPr>
        <w:spacing w:lineRule="exact" w:line="400" w:before="0" w:after="0"/>
        <w:ind w:firstLine="480"/>
      </w:pPr>
      <w:r>
        <w:rPr>
          <w:rFonts w:ascii="宋体" w:hAnsi="宋体" w:eastAsia="宋体"/>
          <w:b w:val="0"/>
          <w:sz w:val="24"/>
        </w:rPr>
        <w:t>工业软件收入3330亿元，占全行业2.15%，与我国制造业增加值全球第一的地位明显不匹配。高端 CAD、CAE、EDA 工具仍高度依赖进口，其中 EDA 几乎被国外三家厂商垄断。工业软件的难点不在代码量，而在“工艺知识加软件工程”的长期积累，需要制造业与软件业深度协同。</w:t>
      </w:r>
    </w:p>
    <w:p>
      <w:pPr>
        <w:spacing w:lineRule="exact" w:line="400" w:before="80" w:after="0"/>
        <w:ind w:firstLine="480"/>
      </w:pPr>
      <w:r>
        <w:rPr>
          <w:rFonts w:ascii="微软雅黑" w:hAnsi="微软雅黑" w:eastAsia="微软雅黑"/>
          <w:b w:val="0"/>
          <w:sz w:val="24"/>
        </w:rPr>
        <w:t>（三）盈利能力偏弱，增收不增利</w:t>
      </w:r>
    </w:p>
    <w:p>
      <w:pPr>
        <w:spacing w:lineRule="exact" w:line="400" w:before="0" w:after="0"/>
        <w:ind w:firstLine="480"/>
      </w:pPr>
      <w:r>
        <w:rPr>
          <w:rFonts w:ascii="宋体" w:hAnsi="宋体" w:eastAsia="宋体"/>
          <w:b w:val="0"/>
          <w:sz w:val="24"/>
        </w:rPr>
        <w:t>收入增长13.2%，利润只增长7.3%，利润率约12.2%。原因有三：一是人力成本持续上升，软件企业最大的成本项就是人；二是大量项目制定制开发，复用率低、边际成本高；三是同质化竞争激烈，价格战压缩利润空间。增收不增利会削弱企业投入基础研发的能力，容易形成恶性循环。</w:t>
      </w:r>
    </w:p>
    <w:p>
      <w:pPr>
        <w:spacing w:lineRule="exact" w:line="400" w:before="80" w:after="0"/>
        <w:ind w:firstLine="480"/>
      </w:pPr>
      <w:r>
        <w:rPr>
          <w:rFonts w:ascii="微软雅黑" w:hAnsi="微软雅黑" w:eastAsia="微软雅黑"/>
          <w:b w:val="0"/>
          <w:sz w:val="24"/>
        </w:rPr>
        <w:t>（四）国际化程度偏低</w:t>
      </w:r>
    </w:p>
    <w:p>
      <w:pPr>
        <w:spacing w:lineRule="exact" w:line="400" w:before="0" w:after="0"/>
        <w:ind w:firstLine="480"/>
      </w:pPr>
      <w:r>
        <w:rPr>
          <w:rFonts w:ascii="宋体" w:hAnsi="宋体" w:eastAsia="宋体"/>
          <w:b w:val="0"/>
          <w:sz w:val="24"/>
        </w:rPr>
        <w:t>2025年软件业务出口627.3亿美元，按汇率折算约4400亿元，占软件业务收入不到3%，且以嵌入式软件和信息技术外包为主，自主品牌软件出海的比例更低。国际化不足，意味着企业只能在国内市场内卷。</w:t>
      </w:r>
    </w:p>
    <w:p>
      <w:pPr>
        <w:spacing w:lineRule="exact" w:line="400" w:before="80" w:after="0"/>
        <w:ind w:firstLine="480"/>
      </w:pPr>
      <w:r>
        <w:rPr>
          <w:rFonts w:ascii="微软雅黑" w:hAnsi="微软雅黑" w:eastAsia="微软雅黑"/>
          <w:b w:val="0"/>
          <w:sz w:val="24"/>
        </w:rPr>
        <w:t>（五）人才结构性矛盾</w:t>
      </w:r>
    </w:p>
    <w:p>
      <w:pPr>
        <w:spacing w:lineRule="exact" w:line="400" w:before="0" w:after="0"/>
        <w:ind w:firstLine="480"/>
      </w:pPr>
      <w:r>
        <w:rPr>
          <w:rFonts w:ascii="宋体" w:hAnsi="宋体" w:eastAsia="宋体"/>
          <w:b w:val="0"/>
          <w:sz w:val="24"/>
        </w:rPr>
        <w:t>一方面，应用开发人才相对过剩，同质化竞争激烈；另一方面，操作系统内核、数据库内核、工业软件算法等底层人才严重短缺。高校培养体系偏重应用层框架的使用，学生对操作系统、数据库系统、计算机体系结构等“硬课”的投入不足。行业普遍存在的年龄焦虑，也影响了高端人才的长期积累。</w:t>
      </w:r>
    </w:p>
    <w:p>
      <w:pPr>
        <w:spacing w:lineRule="exact" w:line="400" w:before="160" w:after="40"/>
      </w:pPr>
      <w:r>
        <w:rPr>
          <w:rFonts w:ascii="微软雅黑" w:hAnsi="微软雅黑" w:eastAsia="微软雅黑"/>
          <w:b/>
          <w:sz w:val="24"/>
        </w:rPr>
        <w:t>五、未来发展方向及前景</w:t>
      </w:r>
    </w:p>
    <w:p>
      <w:pPr>
        <w:spacing w:lineRule="exact" w:line="400" w:before="80" w:after="0"/>
        <w:ind w:firstLine="480"/>
      </w:pPr>
      <w:r>
        <w:rPr>
          <w:rFonts w:ascii="微软雅黑" w:hAnsi="微软雅黑" w:eastAsia="微软雅黑"/>
          <w:b w:val="0"/>
          <w:sz w:val="24"/>
        </w:rPr>
        <w:t>（一）AI 原生正在重构软件形态</w:t>
      </w:r>
    </w:p>
    <w:p>
      <w:pPr>
        <w:spacing w:lineRule="exact" w:line="400" w:before="0" w:after="0"/>
        <w:ind w:firstLine="480"/>
      </w:pPr>
      <w:r>
        <w:rPr>
          <w:rFonts w:ascii="宋体" w:hAnsi="宋体" w:eastAsia="宋体"/>
          <w:b w:val="0"/>
          <w:sz w:val="24"/>
        </w:rPr>
        <w:t>大模型正在同时改变软件的开发方式和使用方式。开发侧，代码生成与智能体辅助编程显著提升效率；产品侧，软件从“提供功能”转向“提供可被调用的智能体能力”。对软件工程而言，这意味着需求分析、测试验证、数据治理的重要性上升，重复性编码的价值下降。可以预见，AI 原生会成为未来五年软件产品的主要形态。</w:t>
      </w:r>
    </w:p>
    <w:p>
      <w:pPr>
        <w:spacing w:lineRule="exact" w:line="400" w:before="80" w:after="0"/>
        <w:ind w:firstLine="480"/>
      </w:pPr>
      <w:r>
        <w:rPr>
          <w:rFonts w:ascii="微软雅黑" w:hAnsi="微软雅黑" w:eastAsia="微软雅黑"/>
          <w:b w:val="0"/>
          <w:sz w:val="24"/>
        </w:rPr>
        <w:t>（二）信创从党政走向全行业</w:t>
      </w:r>
    </w:p>
    <w:p>
      <w:pPr>
        <w:spacing w:lineRule="exact" w:line="400" w:before="0" w:after="0"/>
        <w:ind w:firstLine="480"/>
      </w:pPr>
      <w:r>
        <w:rPr>
          <w:rFonts w:ascii="宋体" w:hAnsi="宋体" w:eastAsia="宋体"/>
          <w:b w:val="0"/>
          <w:sz w:val="24"/>
        </w:rPr>
        <w:t>国产化替代已从党政办公扩展到金融、电信、能源、交通等关键行业，评价标准也从“能用”转向“好用”。这一过程会持续释放对操作系统、数据库、中间件、办公套件的需求，是基础软件最重要的市场窗口。</w:t>
      </w:r>
    </w:p>
    <w:p>
      <w:pPr>
        <w:spacing w:lineRule="exact" w:line="400" w:before="80" w:after="0"/>
        <w:ind w:firstLine="480"/>
      </w:pPr>
      <w:r>
        <w:rPr>
          <w:rFonts w:ascii="微软雅黑" w:hAnsi="微软雅黑" w:eastAsia="微软雅黑"/>
          <w:b w:val="0"/>
          <w:sz w:val="24"/>
        </w:rPr>
        <w:t>（三）工业软件迎来攻坚期</w:t>
      </w:r>
    </w:p>
    <w:p>
      <w:pPr>
        <w:spacing w:lineRule="exact" w:line="400" w:before="0" w:after="0"/>
        <w:ind w:firstLine="480"/>
      </w:pPr>
      <w:r>
        <w:rPr>
          <w:rFonts w:ascii="宋体" w:hAnsi="宋体" w:eastAsia="宋体"/>
          <w:b w:val="0"/>
          <w:sz w:val="24"/>
        </w:rPr>
        <w:t>智能制造和数字孪生的推进，使工业软件成为制造业升级的必需品。国产替代的政策窗口已经打开，但能否真正站住，取决于能否把工艺知识沉淀进产品，而不是做出“形似”的工具。</w:t>
      </w:r>
    </w:p>
    <w:p>
      <w:pPr>
        <w:spacing w:lineRule="exact" w:line="400" w:before="80" w:after="0"/>
        <w:ind w:firstLine="480"/>
      </w:pPr>
      <w:r>
        <w:rPr>
          <w:rFonts w:ascii="微软雅黑" w:hAnsi="微软雅黑" w:eastAsia="微软雅黑"/>
          <w:b w:val="0"/>
          <w:sz w:val="24"/>
        </w:rPr>
        <w:t>（四）开源与出海成为必答题</w:t>
      </w:r>
    </w:p>
    <w:p>
      <w:pPr>
        <w:spacing w:lineRule="exact" w:line="400" w:before="0" w:after="0"/>
        <w:ind w:firstLine="480"/>
      </w:pPr>
      <w:r>
        <w:rPr>
          <w:rFonts w:ascii="宋体" w:hAnsi="宋体" w:eastAsia="宋体"/>
          <w:b w:val="0"/>
          <w:sz w:val="24"/>
        </w:rPr>
        <w:t>开源是绕过生态壁垒的现实路径，出海则是突破国内市场天花板的选择。东南亚、中东、拉美等市场对性价比敏感，正是国产软件的机会区间。</w:t>
      </w:r>
    </w:p>
    <w:p>
      <w:pPr>
        <w:spacing w:lineRule="exact" w:line="400" w:before="80" w:after="0"/>
        <w:ind w:firstLine="480"/>
      </w:pPr>
      <w:r>
        <w:rPr>
          <w:rFonts w:ascii="微软雅黑" w:hAnsi="微软雅黑" w:eastAsia="微软雅黑"/>
          <w:b w:val="0"/>
          <w:sz w:val="24"/>
        </w:rPr>
        <w:t>（五）前景判断</w:t>
      </w:r>
    </w:p>
    <w:p>
      <w:pPr>
        <w:spacing w:lineRule="exact" w:line="400" w:before="0" w:after="0"/>
        <w:ind w:firstLine="480"/>
      </w:pPr>
      <w:r>
        <w:rPr>
          <w:rFonts w:ascii="宋体" w:hAnsi="宋体" w:eastAsia="宋体"/>
          <w:b w:val="0"/>
          <w:sz w:val="24"/>
        </w:rPr>
        <w:t>综合来看，我国软件业仍将保持两位数增长，2026年规模有望突破17万亿元；结构上，信息技术服务的占比还会提升，但基础软件和工业软件的增速会高于行业平均。产业的“大”已经确立，“强”则取决于未来十年基础软件与工业软件能否补上短板。</w:t>
      </w:r>
    </w:p>
    <w:p>
      <w:pPr>
        <w:spacing w:lineRule="exact" w:line="400" w:before="160" w:after="40"/>
      </w:pPr>
      <w:r>
        <w:rPr>
          <w:rFonts w:ascii="微软雅黑" w:hAnsi="微软雅黑" w:eastAsia="微软雅黑"/>
          <w:b/>
          <w:sz w:val="24"/>
        </w:rPr>
        <w:t>六、分析与思考</w:t>
      </w:r>
    </w:p>
    <w:p>
      <w:pPr>
        <w:spacing w:lineRule="exact" w:line="400" w:before="80" w:after="0"/>
        <w:ind w:firstLine="480"/>
      </w:pPr>
      <w:r>
        <w:rPr>
          <w:rFonts w:ascii="微软雅黑" w:hAnsi="微软雅黑" w:eastAsia="微软雅黑"/>
          <w:b w:val="0"/>
          <w:sz w:val="24"/>
        </w:rPr>
        <w:t>（一）对专业学习的启示</w:t>
      </w:r>
    </w:p>
    <w:p>
      <w:pPr>
        <w:spacing w:lineRule="exact" w:line="400" w:before="0" w:after="0"/>
        <w:ind w:firstLine="480"/>
      </w:pPr>
      <w:r>
        <w:rPr>
          <w:rFonts w:ascii="宋体" w:hAnsi="宋体" w:eastAsia="宋体"/>
          <w:b w:val="0"/>
          <w:sz w:val="24"/>
        </w:rPr>
        <w:t>本学期软件工程课程设计完成了一个校园快递收发系统：从需求梳理、接口设计，到后端实现、数据库设计与自动化测试，完整走了一遍软件的生命周期。写代码之前先定接口文档，这件事起初觉得繁琐，后来发现正是它让入库、查询、核销、统计几个模块能够并行推进——路径、参数、错误码都写清楚之后，联调和测试才有依据。</w:t>
      </w:r>
    </w:p>
    <w:p>
      <w:pPr>
        <w:spacing w:lineRule="exact" w:line="400" w:before="0" w:after="0"/>
        <w:ind w:firstLine="480"/>
      </w:pPr>
      <w:r>
        <w:rPr>
          <w:rFonts w:ascii="宋体" w:hAnsi="宋体" w:eastAsia="宋体"/>
          <w:b w:val="0"/>
          <w:sz w:val="24"/>
        </w:rPr>
        <w:t>印象最深的一次返工发生在接口设计上。包裹表里的“快递公司”最初按中文名存储，靠文档约定“前端提交时不要改字”来保证统一，而统计接口又按公司名分组。只要有人漏写一个字或带个空格，统计口径就会分叉。后来改成接口传公司代码、库里只存代码、中文名由后端统一映射。这件事让我理解了什么叫“受约束的字段应该由后端定义，前端只传稳定标识”，也理解了接口契约不只是文档，而是约束双方行为的规则。</w:t>
      </w:r>
    </w:p>
    <w:p>
      <w:pPr>
        <w:spacing w:lineRule="exact" w:line="400" w:before="0" w:after="0"/>
        <w:ind w:firstLine="480"/>
      </w:pPr>
      <w:r>
        <w:rPr>
          <w:rFonts w:ascii="宋体" w:hAnsi="宋体" w:eastAsia="宋体"/>
          <w:b w:val="0"/>
          <w:sz w:val="24"/>
        </w:rPr>
        <w:t>结合本次调研，我认为专业学习需要补三块：一是基础课不能水过，数据库系统、操作系统、计算机网络这些课程决定了能不能看懂整个系统；二是要读源码而不只是调 API，哪怕先读一个小型开源项目；三是要有工程素养，版本管理、自动化测试、接口文档、性能分析，这些决定了代码能不能变成可交付的产品。</w:t>
      </w:r>
    </w:p>
    <w:p>
      <w:pPr>
        <w:spacing w:lineRule="exact" w:line="400" w:before="80" w:after="0"/>
        <w:ind w:firstLine="480"/>
      </w:pPr>
      <w:r>
        <w:rPr>
          <w:rFonts w:ascii="微软雅黑" w:hAnsi="微软雅黑" w:eastAsia="微软雅黑"/>
          <w:b w:val="0"/>
          <w:sz w:val="24"/>
        </w:rPr>
        <w:t>（二）对未来职业发展的规划</w:t>
      </w:r>
    </w:p>
    <w:p>
      <w:pPr>
        <w:spacing w:lineRule="exact" w:line="400" w:before="0" w:after="0"/>
        <w:ind w:firstLine="480"/>
      </w:pPr>
      <w:r>
        <w:rPr>
          <w:rFonts w:ascii="宋体" w:hAnsi="宋体" w:eastAsia="宋体"/>
          <w:b w:val="0"/>
          <w:sz w:val="24"/>
        </w:rPr>
        <w:t>短期（1—2年）：打好后端开发与系统功底，掌握一门主力语言，完成一个完整项目，并参与开源社区（如 openEuler、OpenHarmony）的 issue 与文档贡献。</w:t>
      </w:r>
    </w:p>
    <w:p>
      <w:pPr>
        <w:spacing w:lineRule="exact" w:line="400" w:before="0" w:after="0"/>
        <w:ind w:firstLine="480"/>
      </w:pPr>
      <w:r>
        <w:rPr>
          <w:rFonts w:ascii="宋体" w:hAnsi="宋体" w:eastAsia="宋体"/>
          <w:b w:val="0"/>
          <w:sz w:val="24"/>
        </w:rPr>
        <w:t>中期（3—5年）：在云原生、数据库或分布式中间件中选定一个方向深耕，争取参与核心模块开发，形成不可替代的领域知识。</w:t>
      </w:r>
    </w:p>
    <w:p>
      <w:pPr>
        <w:spacing w:lineRule="exact" w:line="400" w:before="0" w:after="0"/>
        <w:ind w:firstLine="480"/>
      </w:pPr>
      <w:r>
        <w:rPr>
          <w:rFonts w:ascii="宋体" w:hAnsi="宋体" w:eastAsia="宋体"/>
          <w:b w:val="0"/>
          <w:sz w:val="24"/>
        </w:rPr>
        <w:t>长期：希望能够参与国产基础软件的研发。这个选择并不轻松——周期长、回报慢，但正因为难，才需要有人做。</w:t>
      </w:r>
    </w:p>
    <w:p>
      <w:pPr>
        <w:spacing w:lineRule="exact" w:line="400" w:before="0" w:after="0"/>
        <w:ind w:firstLine="480"/>
      </w:pPr>
      <w:r>
        <w:rPr>
          <w:rFonts w:ascii="宋体" w:hAnsi="宋体" w:eastAsia="宋体"/>
          <w:b w:val="0"/>
          <w:sz w:val="24"/>
        </w:rPr>
        <w:t>同时也要清醒地看到风险：AI 正在替代初级的、重复性的编码工作，仅靠“会写代码”很难长期立足。真正稀缺的是“懂系统、懂业务、能设计”的人，这要求在大学阶段就把基础打牢，而不是等到工作后再补。</w:t>
      </w:r>
    </w:p>
    <w:p>
      <w:pPr>
        <w:spacing w:lineRule="exact" w:line="400" w:before="160" w:after="40"/>
      </w:pPr>
      <w:r>
        <w:rPr>
          <w:rFonts w:ascii="微软雅黑" w:hAnsi="微软雅黑" w:eastAsia="微软雅黑"/>
          <w:b/>
          <w:sz w:val="24"/>
        </w:rPr>
        <w:t>七、结语</w:t>
      </w:r>
    </w:p>
    <w:p>
      <w:pPr>
        <w:spacing w:lineRule="exact" w:line="400" w:before="0" w:after="0"/>
        <w:ind w:firstLine="480"/>
      </w:pPr>
      <w:r>
        <w:rPr>
          <w:rFonts w:ascii="宋体" w:hAnsi="宋体" w:eastAsia="宋体"/>
          <w:b w:val="0"/>
          <w:sz w:val="24"/>
        </w:rPr>
        <w:t>2025年我国软件业务收入15.48万亿元、同比增长13.2%，这是一份不错的成绩单。但从结构上看，基础软件仅占1.4%、工业软件仅占2.2%、出口不足3%，“大而不强”的特征依然明显。对行业而言，未来的机会在补短板；对个人而言，最有价值的位置也恰恰在这些短板上。作为计算机专业的学生，把底层学扎实、把工程做规范、把视野放到产业全局，是我从这次调研中得到的最重要的结论。</w:t>
      </w:r>
    </w:p>
    <w:p>
      <w:pPr>
        <w:spacing w:lineRule="exact" w:line="400" w:before="160" w:after="40"/>
      </w:pPr>
      <w:r>
        <w:rPr>
          <w:rFonts w:ascii="微软雅黑" w:hAnsi="微软雅黑" w:eastAsia="微软雅黑"/>
          <w:b/>
          <w:sz w:val="24"/>
        </w:rPr>
        <w:t>参考文献</w:t>
      </w:r>
    </w:p>
    <w:p>
      <w:pPr>
        <w:spacing w:lineRule="exact" w:line="400" w:before="0" w:after="0"/>
        <w:ind w:left="480" w:hanging="480"/>
      </w:pPr>
      <w:r>
        <w:rPr>
          <w:rFonts w:ascii="宋体" w:hAnsi="宋体" w:eastAsia="宋体"/>
          <w:b w:val="0"/>
          <w:sz w:val="24"/>
        </w:rPr>
        <w:t>[1] 工业和信息化部. 2025年软件业运行情况[EB/OL]. https://www.miit.gov.cn/gxsj/tjfx/rjy/art/2026/art_65a12a560865432bb1548fdddc74f19c.html，2026-01-30.</w:t>
      </w:r>
    </w:p>
    <w:p>
      <w:pPr>
        <w:spacing w:lineRule="exact" w:line="400" w:before="0" w:after="0"/>
        <w:ind w:left="480" w:hanging="480"/>
      </w:pPr>
      <w:r>
        <w:rPr>
          <w:rFonts w:ascii="宋体" w:hAnsi="宋体" w:eastAsia="宋体"/>
          <w:b w:val="0"/>
          <w:sz w:val="24"/>
        </w:rPr>
        <w:t>[2] 新华社. 2025年我国软件业务收入同比增长13.2%[EB/OL]. https://www.news.cn/fortune/20260130/d4744bf782d34fc6a48a10b6b95890de/c.html，2026-01-30.</w:t>
      </w:r>
    </w:p>
    <w:p>
      <w:pPr>
        <w:spacing w:lineRule="exact" w:line="400" w:before="0" w:after="0"/>
        <w:ind w:left="480" w:hanging="480"/>
      </w:pPr>
      <w:r>
        <w:rPr>
          <w:rFonts w:ascii="宋体" w:hAnsi="宋体" w:eastAsia="宋体"/>
          <w:b w:val="0"/>
          <w:sz w:val="24"/>
        </w:rPr>
        <w:t>[3] 开放原子开源基金会[EB/OL]. https://www.openatom.org/，访问日期 2026-10-31.</w:t>
      </w:r>
    </w:p>
    <w:p>
      <w:pPr>
        <w:spacing w:lineRule="exact" w:line="400" w:before="0" w:after="0"/>
        <w:ind w:left="480" w:hanging="480"/>
      </w:pPr>
      <w:r>
        <w:rPr>
          <w:rFonts w:ascii="宋体" w:hAnsi="宋体" w:eastAsia="宋体"/>
          <w:b w:val="0"/>
          <w:sz w:val="24"/>
        </w:rPr>
        <w:t>[4] openEuler 社区[EB/OL]. https://www.openeuler.org/，访问日期 2026-10-31.</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fldChar w:fldCharType="begin"/>
    </w:r>
    <w:r>
      <w:rPr>
        <w:rFonts w:ascii="宋体" w:hAnsi="宋体" w:eastAsia="宋体"/>
        <w:b w:val="0"/>
        <w:sz w:val="18"/>
      </w:rPr>
      <w:instrText xml:space="preserve">PAGE</w:instrText>
    </w:r>
    <w:r>
      <w:rPr>
        <w:rFonts w:ascii="宋体" w:hAnsi="宋体" w:eastAsia="宋体"/>
        <w:b w:val="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before="0"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