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CSC 172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  <w:u w:val="single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Author: </w:t>
      </w:r>
      <w:r w:rsidDel="00000000" w:rsidR="00000000" w:rsidRPr="00000000">
        <w:rPr>
          <w:smallCaps w:val="0"/>
          <w:color w:val="3f7f5f"/>
          <w:sz w:val="22"/>
          <w:szCs w:val="22"/>
          <w:u w:val="single"/>
          <w:rtl w:val="0"/>
        </w:rPr>
        <w:t xml:space="preserve">Tianyi</w:t>
      </w: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color w:val="3f7f5f"/>
          <w:sz w:val="22"/>
          <w:szCs w:val="22"/>
          <w:u w:val="single"/>
          <w:rtl w:val="0"/>
        </w:rPr>
        <w:t xml:space="preserve">Ma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NetID: tma8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Lab time: MW 615-730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Lab number: Lab2Combinatorics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In Main.java you can see programs that can compute counting assignments, counting permutations, ordered selections and unordered selections. The questions and answers are aimed to apply and test the programs. </w:t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