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E79"/>
          <w:sz w:val="52"/>
        </w:rPr>
        <w:br/>
        <w:br/>
        <w:t>Escalation Process SOP</w:t>
      </w:r>
    </w:p>
    <w:p>
      <w:pPr>
        <w:jc w:val="center"/>
      </w:pPr>
      <w:r>
        <w:rPr>
          <w:i/>
          <w:sz w:val="26"/>
        </w:rPr>
        <w:t>Standard Operating Procedure for Issue Escalation, Ownership, Resolution, and Follow-Up</w:t>
      </w:r>
    </w:p>
    <w:p>
      <w:pPr>
        <w:jc w:val="center"/>
      </w:pPr>
      <w:r>
        <w:t>Company: AsterSense Smart Home</w:t>
        <w:br/>
        <w:t>Business Model: Smart Home and Intelligent Electronics E-Commerce</w:t>
        <w:br/>
        <w:t>Document Type: Internal Standard Operating Procedure</w:t>
        <w:br/>
        <w:t>Effective Date: July 2, 2026</w:t>
        <w:br/>
        <w:t>Version: 1.0</w:t>
        <w:br/>
        <w:t>Owner: Customer Operations, Technical Support, and Operations Excellence</w:t>
        <w:br/>
        <w:t>Classification: Internal Use Only</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
              <w:rPr>
                <w:rFonts w:ascii="Calibri" w:hAnsi="Calibri"/>
                <w:b/>
                <w:sz w:val="17"/>
              </w:rPr>
              <w:t>Field</w:t>
            </w:r>
          </w:p>
        </w:tc>
        <w:tc>
          <w:tcPr>
            <w:tcW w:type="dxa" w:w="5112"/>
            <w:shd w:fill="D9EAF7"/>
            <w:vAlign w:val="center"/>
          </w:tcPr>
          <w:p>
            <w:r/>
            <w:r>
              <w:rPr>
                <w:rFonts w:ascii="Calibri" w:hAnsi="Calibri"/>
                <w:b/>
                <w:sz w:val="17"/>
              </w:rPr>
              <w:t>Detail</w:t>
            </w:r>
          </w:p>
        </w:tc>
      </w:tr>
      <w:tr>
        <w:tc>
          <w:tcPr>
            <w:tcW w:type="dxa" w:w="5112"/>
            <w:vAlign w:val="top"/>
          </w:tcPr>
          <w:p>
            <w:r/>
            <w:r>
              <w:rPr>
                <w:rFonts w:ascii="Calibri" w:hAnsi="Calibri"/>
                <w:b w:val="0"/>
                <w:sz w:val="16"/>
              </w:rPr>
              <w:t>Document owner</w:t>
            </w:r>
          </w:p>
        </w:tc>
        <w:tc>
          <w:tcPr>
            <w:tcW w:type="dxa" w:w="5112"/>
            <w:vAlign w:val="top"/>
          </w:tcPr>
          <w:p>
            <w:r/>
            <w:r>
              <w:rPr>
                <w:rFonts w:ascii="Calibri" w:hAnsi="Calibri"/>
                <w:b w:val="0"/>
                <w:sz w:val="16"/>
              </w:rPr>
              <w:t>Customer Operations, Technical Support, Trust &amp; Safety, and Operations Excellence</w:t>
            </w:r>
          </w:p>
        </w:tc>
      </w:tr>
      <w:tr>
        <w:tc>
          <w:tcPr>
            <w:tcW w:type="dxa" w:w="5112"/>
            <w:vAlign w:val="top"/>
          </w:tcPr>
          <w:p>
            <w:r/>
            <w:r>
              <w:rPr>
                <w:rFonts w:ascii="Calibri" w:hAnsi="Calibri"/>
                <w:b w:val="0"/>
                <w:sz w:val="16"/>
              </w:rPr>
              <w:t>Primary users</w:t>
            </w:r>
          </w:p>
        </w:tc>
        <w:tc>
          <w:tcPr>
            <w:tcW w:type="dxa" w:w="5112"/>
            <w:vAlign w:val="top"/>
          </w:tcPr>
          <w:p>
            <w:r/>
            <w:r>
              <w:rPr>
                <w:rFonts w:ascii="Calibri" w:hAnsi="Calibri"/>
                <w:b w:val="0"/>
                <w:sz w:val="16"/>
              </w:rPr>
              <w:t>Customer service agents, technical support specialists, team leads, escalation managers, warehouse coordinators, finance operations, fraud/risk analysts, QA reviewers, and operations leadership</w:t>
            </w:r>
          </w:p>
        </w:tc>
      </w:tr>
      <w:tr>
        <w:tc>
          <w:tcPr>
            <w:tcW w:type="dxa" w:w="5112"/>
            <w:vAlign w:val="top"/>
          </w:tcPr>
          <w:p>
            <w:r/>
            <w:r>
              <w:rPr>
                <w:rFonts w:ascii="Calibri" w:hAnsi="Calibri"/>
                <w:b w:val="0"/>
                <w:sz w:val="16"/>
              </w:rPr>
              <w:t>Related documents</w:t>
            </w:r>
          </w:p>
        </w:tc>
        <w:tc>
          <w:tcPr>
            <w:tcW w:type="dxa" w:w="5112"/>
            <w:vAlign w:val="top"/>
          </w:tcPr>
          <w:p>
            <w:r/>
            <w:r>
              <w:rPr>
                <w:rFonts w:ascii="Calibri" w:hAnsi="Calibri"/>
                <w:b w:val="0"/>
                <w:sz w:val="16"/>
              </w:rPr>
              <w:t>Customer Service SOP, Refund Process SOP, Return Policy, Refund Policy, Shipping Policy, Warranty Policy, Privacy Policy, Complaint Handling SOP, and Incident Response Guide</w:t>
            </w:r>
          </w:p>
        </w:tc>
      </w:tr>
      <w:tr>
        <w:tc>
          <w:tcPr>
            <w:tcW w:type="dxa" w:w="5112"/>
            <w:vAlign w:val="top"/>
          </w:tcPr>
          <w:p>
            <w:r/>
            <w:r>
              <w:rPr>
                <w:rFonts w:ascii="Calibri" w:hAnsi="Calibri"/>
                <w:b w:val="0"/>
                <w:sz w:val="16"/>
              </w:rPr>
              <w:t>Review cadence</w:t>
            </w:r>
          </w:p>
        </w:tc>
        <w:tc>
          <w:tcPr>
            <w:tcW w:type="dxa" w:w="5112"/>
            <w:vAlign w:val="top"/>
          </w:tcPr>
          <w:p>
            <w:r/>
            <w:r>
              <w:rPr>
                <w:rFonts w:ascii="Calibri" w:hAnsi="Calibri"/>
                <w:b w:val="0"/>
                <w:sz w:val="16"/>
              </w:rPr>
              <w:t>Monthly for the first three months after launch, then quarterly, or sooner when systems, product risk, legal obligations, carrier rules, or support channels materially change</w:t>
            </w:r>
          </w:p>
        </w:tc>
      </w:tr>
      <w:tr>
        <w:tc>
          <w:tcPr>
            <w:tcW w:type="dxa" w:w="5112"/>
            <w:vAlign w:val="top"/>
          </w:tcPr>
          <w:p>
            <w:r/>
            <w:r>
              <w:rPr>
                <w:rFonts w:ascii="Calibri" w:hAnsi="Calibri"/>
                <w:b w:val="0"/>
                <w:sz w:val="16"/>
              </w:rPr>
              <w:t>System of record</w:t>
            </w:r>
          </w:p>
        </w:tc>
        <w:tc>
          <w:tcPr>
            <w:tcW w:type="dxa" w:w="5112"/>
            <w:vAlign w:val="top"/>
          </w:tcPr>
          <w:p>
            <w:r/>
            <w:r>
              <w:rPr>
                <w:rFonts w:ascii="Calibri" w:hAnsi="Calibri"/>
                <w:b w:val="0"/>
                <w:sz w:val="16"/>
              </w:rPr>
              <w:t>CRM/ticketing platform, OMS, WMS, device diagnostics console, fraud/risk case tool, QA platform, incident log, and knowledge base</w:t>
            </w:r>
          </w:p>
        </w:tc>
      </w:tr>
      <w:tr>
        <w:tc>
          <w:tcPr>
            <w:tcW w:type="dxa" w:w="5112"/>
            <w:vAlign w:val="top"/>
          </w:tcPr>
          <w:p>
            <w:r/>
            <w:r>
              <w:rPr>
                <w:rFonts w:ascii="Calibri" w:hAnsi="Calibri"/>
                <w:b w:val="0"/>
                <w:sz w:val="16"/>
              </w:rPr>
              <w:t>Document status</w:t>
            </w:r>
          </w:p>
        </w:tc>
        <w:tc>
          <w:tcPr>
            <w:tcW w:type="dxa" w:w="5112"/>
            <w:vAlign w:val="top"/>
          </w:tcPr>
          <w:p>
            <w:r/>
            <w:r>
              <w:rPr>
                <w:rFonts w:ascii="Calibri" w:hAnsi="Calibri"/>
                <w:b w:val="0"/>
                <w:sz w:val="16"/>
              </w:rPr>
              <w:t>Approved for training, operational use, process audits, and knowledge base ingestion</w:t>
            </w:r>
          </w:p>
        </w:tc>
      </w:tr>
    </w:tbl>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center"/>
          </w:tcPr>
          <w:p>
            <w:r/>
            <w:r>
              <w:rPr>
                <w:rFonts w:ascii="Calibri" w:hAnsi="Calibri"/>
                <w:b/>
                <w:sz w:val="17"/>
              </w:rPr>
              <w:t>Version</w:t>
            </w:r>
          </w:p>
        </w:tc>
        <w:tc>
          <w:tcPr>
            <w:tcW w:type="dxa" w:w="2556"/>
            <w:shd w:fill="D9EAF7"/>
            <w:vAlign w:val="center"/>
          </w:tcPr>
          <w:p>
            <w:r/>
            <w:r>
              <w:rPr>
                <w:rFonts w:ascii="Calibri" w:hAnsi="Calibri"/>
                <w:b/>
                <w:sz w:val="17"/>
              </w:rPr>
              <w:t>Date</w:t>
            </w:r>
          </w:p>
        </w:tc>
        <w:tc>
          <w:tcPr>
            <w:tcW w:type="dxa" w:w="2556"/>
            <w:shd w:fill="D9EAF7"/>
            <w:vAlign w:val="center"/>
          </w:tcPr>
          <w:p>
            <w:r/>
            <w:r>
              <w:rPr>
                <w:rFonts w:ascii="Calibri" w:hAnsi="Calibri"/>
                <w:b/>
                <w:sz w:val="17"/>
              </w:rPr>
              <w:t>Change Summary</w:t>
            </w:r>
          </w:p>
        </w:tc>
        <w:tc>
          <w:tcPr>
            <w:tcW w:type="dxa" w:w="2556"/>
            <w:shd w:fill="D9EAF7"/>
            <w:vAlign w:val="center"/>
          </w:tcPr>
          <w:p>
            <w:r/>
            <w:r>
              <w:rPr>
                <w:rFonts w:ascii="Calibri" w:hAnsi="Calibri"/>
                <w:b/>
                <w:sz w:val="17"/>
              </w:rPr>
              <w:t>Approver</w:t>
            </w:r>
          </w:p>
        </w:tc>
      </w:tr>
      <w:tr>
        <w:tc>
          <w:tcPr>
            <w:tcW w:type="dxa" w:w="2556"/>
            <w:vAlign w:val="top"/>
          </w:tcPr>
          <w:p>
            <w:r/>
            <w:r>
              <w:rPr>
                <w:rFonts w:ascii="Calibri" w:hAnsi="Calibri"/>
                <w:b w:val="0"/>
                <w:sz w:val="16"/>
              </w:rPr>
              <w:t>1.0</w:t>
            </w:r>
          </w:p>
        </w:tc>
        <w:tc>
          <w:tcPr>
            <w:tcW w:type="dxa" w:w="2556"/>
            <w:vAlign w:val="top"/>
          </w:tcPr>
          <w:p>
            <w:r/>
            <w:r>
              <w:rPr>
                <w:rFonts w:ascii="Calibri" w:hAnsi="Calibri"/>
                <w:b w:val="0"/>
                <w:sz w:val="16"/>
              </w:rPr>
              <w:t>2026-07-02</w:t>
            </w:r>
          </w:p>
        </w:tc>
        <w:tc>
          <w:tcPr>
            <w:tcW w:type="dxa" w:w="2556"/>
            <w:vAlign w:val="top"/>
          </w:tcPr>
          <w:p>
            <w:r/>
            <w:r>
              <w:rPr>
                <w:rFonts w:ascii="Calibri" w:hAnsi="Calibri"/>
                <w:b w:val="0"/>
                <w:sz w:val="16"/>
              </w:rPr>
              <w:t>Initial escalation process for customer, technical, safety, logistics, refund, privacy, fraud, and executive support cases.</w:t>
            </w:r>
          </w:p>
        </w:tc>
        <w:tc>
          <w:tcPr>
            <w:tcW w:type="dxa" w:w="2556"/>
            <w:vAlign w:val="top"/>
          </w:tcPr>
          <w:p>
            <w:r/>
            <w:r>
              <w:rPr>
                <w:rFonts w:ascii="Calibri" w:hAnsi="Calibri"/>
                <w:b w:val="0"/>
                <w:sz w:val="16"/>
              </w:rPr>
              <w:t>Director, Customer Operations</w:t>
            </w:r>
          </w:p>
        </w:tc>
      </w:tr>
    </w:tbl>
    <w:p/>
    <w:p>
      <w:pPr>
        <w:pStyle w:val="Heading1"/>
      </w:pPr>
      <w:r>
        <w:t>Table of Contents</w:t>
      </w:r>
    </w:p>
    <w:p>
      <w:pPr>
        <w:pStyle w:val="ListBullet"/>
      </w:pPr>
      <w:r>
        <w:t>1. Purpose and Scope</w:t>
      </w:r>
    </w:p>
    <w:p>
      <w:pPr>
        <w:pStyle w:val="ListBullet"/>
      </w:pPr>
      <w:r>
        <w:t>2. Escalation Principles</w:t>
      </w:r>
    </w:p>
    <w:p>
      <w:pPr>
        <w:pStyle w:val="ListBullet"/>
      </w:pPr>
      <w:r>
        <w:t>3. Escalation Levels and Severity</w:t>
      </w:r>
    </w:p>
    <w:p>
      <w:pPr>
        <w:pStyle w:val="ListBullet"/>
      </w:pPr>
      <w:r>
        <w:t>4. Roles and Ownership</w:t>
      </w:r>
    </w:p>
    <w:p>
      <w:pPr>
        <w:pStyle w:val="ListBullet"/>
      </w:pPr>
      <w:r>
        <w:t>5. Standard Escalation Workflow</w:t>
      </w:r>
    </w:p>
    <w:p>
      <w:pPr>
        <w:pStyle w:val="ListBullet"/>
      </w:pPr>
      <w:r>
        <w:t>6. Intake and Triage Requirements</w:t>
      </w:r>
    </w:p>
    <w:p>
      <w:pPr>
        <w:pStyle w:val="ListBullet"/>
      </w:pPr>
      <w:r>
        <w:t>7. Channel-Specific Escalation Rules</w:t>
      </w:r>
    </w:p>
    <w:p>
      <w:pPr>
        <w:pStyle w:val="ListBullet"/>
      </w:pPr>
      <w:r>
        <w:t>8. Category-Specific Escalation Rules</w:t>
      </w:r>
    </w:p>
    <w:p>
      <w:pPr>
        <w:pStyle w:val="ListBullet"/>
      </w:pPr>
      <w:r>
        <w:t>9. Technical and IoT Escalations</w:t>
      </w:r>
    </w:p>
    <w:p>
      <w:pPr>
        <w:pStyle w:val="ListBullet"/>
      </w:pPr>
      <w:r>
        <w:t>10. Refund, Return, and Financial Escalations</w:t>
      </w:r>
    </w:p>
    <w:p>
      <w:pPr>
        <w:pStyle w:val="ListBullet"/>
      </w:pPr>
      <w:r>
        <w:t>11. Safety, Security, and Privacy Escalations</w:t>
      </w:r>
    </w:p>
    <w:p>
      <w:pPr>
        <w:pStyle w:val="ListBullet"/>
      </w:pPr>
      <w:r>
        <w:t>12. Customer Communication Standards</w:t>
      </w:r>
    </w:p>
    <w:p>
      <w:pPr>
        <w:pStyle w:val="ListBullet"/>
      </w:pPr>
      <w:r>
        <w:t>13. Timelines, SLAs, and Monitoring</w:t>
      </w:r>
    </w:p>
    <w:p>
      <w:pPr>
        <w:pStyle w:val="ListBullet"/>
      </w:pPr>
      <w:r>
        <w:t>14. Documentation, Evidence, and Handoffs</w:t>
      </w:r>
    </w:p>
    <w:p>
      <w:pPr>
        <w:pStyle w:val="ListBullet"/>
      </w:pPr>
      <w:r>
        <w:t>15. De-Escalation and Closure</w:t>
      </w:r>
    </w:p>
    <w:p>
      <w:pPr>
        <w:pStyle w:val="ListBullet"/>
      </w:pPr>
      <w:r>
        <w:t>16. Quality Assurance, Metrics, and Continuous Improvement</w:t>
      </w:r>
    </w:p>
    <w:p>
      <w:pPr>
        <w:pStyle w:val="ListBullet"/>
      </w:pPr>
      <w:r>
        <w:t>17. Appendix: Templates and Checklists</w:t>
      </w:r>
    </w:p>
    <w:p>
      <w:r>
        <w:br w:type="page"/>
      </w:r>
    </w:p>
    <w:p>
      <w:pPr>
        <w:pStyle w:val="Heading1"/>
      </w:pPr>
      <w:r>
        <w:t>1. Purpose and Scope</w:t>
      </w:r>
    </w:p>
    <w:p>
      <w:pPr>
        <w:jc w:val="both"/>
      </w:pPr>
      <w:r>
        <w:t>This Standard Operating Procedure defines how AsterSense Smart Home employees identify, route, manage, resolve, document, and close escalated customer and operational issues. The company sells connected smart home products, including smart speakers, smart displays, smart thermostats, smart doorbells, smart cameras, smart locks, smart plugs, smart lighting, robot vacuums, air purifiers, security systems, streaming devices, smart TVs, home hubs, and smart sensors. Because these products combine physical devices, firmware, mobile applications, cloud services, subscription features, shipping operations, payment systems, and home-security use cases, some customer issues require cross-functional handling beyond standard frontline support.</w:t>
      </w:r>
    </w:p>
    <w:p>
      <w:pPr>
        <w:jc w:val="both"/>
      </w:pPr>
      <w:r>
        <w:t>The purpose of escalation is not simply to transfer difficult cases to a senior employee. Escalation is a controlled operating mechanism used when a case requires higher authority, specialized expertise, faster response, legal or privacy review, risk investigation, safety review, executive attention, or coordination across multiple teams. Escalation must create clearer ownership, not confusion. The customer should experience a more informed, more accountable, and more timely resolution after a case is escalated.</w:t>
      </w:r>
    </w:p>
    <w:p>
      <w:pPr>
        <w:jc w:val="both"/>
      </w:pPr>
      <w:r>
        <w:t>This SOP applies to all support channels, including email, chat, phone, in-app support, marketplace messaging, social support, returns support, warranty support, executive support, and back-office operational queues. It applies to customer-facing escalations and internal escalations triggered by agents, warehouse teams, finance teams, fraud/risk teams, product teams, or automated monitoring. It should be used together with the Customer Service SOP, Refund Process SOP, Complaint Handling SOP, published policies, and approved knowledge base articles.</w:t>
      </w:r>
    </w:p>
    <w:p>
      <w:pPr>
        <w:pStyle w:val="ListBullet"/>
      </w:pPr>
      <w:r>
        <w:t>In scope: unresolved customer complaints, repeated contacts, technical failures, smart device safety issues, account access issues, refund exceptions, delivery failures, suspected fraud, privacy requests, warranty disputes, marketplace escalations, and executive complaints.</w:t>
      </w:r>
    </w:p>
    <w:p>
      <w:pPr>
        <w:pStyle w:val="ListBullet"/>
      </w:pPr>
      <w:r>
        <w:t>Out of scope: routine questions that can be resolved by the frontline agent using approved scripts and knowledge base articles, unless the customer impact, risk, or delay crosses an escalation threshold.</w:t>
      </w:r>
    </w:p>
    <w:p>
      <w:pPr>
        <w:pStyle w:val="ListBullet"/>
      </w:pPr>
      <w:r>
        <w:t>Primary objective: ensure that every escalated case has a clear severity level, owner, SLA, next action, communication plan, and closure record.</w:t>
      </w:r>
    </w:p>
    <w:p>
      <w:pPr>
        <w:pStyle w:val="Heading1"/>
      </w:pPr>
      <w:r>
        <w:t>2. Escalation Principles</w:t>
      </w:r>
    </w:p>
    <w:p>
      <w:pPr>
        <w:jc w:val="both"/>
      </w:pPr>
      <w:r>
        <w:t>Escalation decisions must be based on defined triggers. Agents should neither escalate every difficult conversation nor hold onto cases that require specialized help. A case should be escalated when the employee handling it lacks the authority, access, expertise, or time-sensitive control required to resolve it correctly. The escalation decision should be visible in the ticket, supported by facts, and routed to the right queue or owner the first time whenever possible.</w:t>
      </w:r>
    </w:p>
    <w:p>
      <w:pPr>
        <w:jc w:val="both"/>
      </w:pPr>
      <w:r>
        <w:t>Escalation does not remove the need for empathy. Customers who are escalated often feel frustrated, ignored, financially harmed, or unsafe. Employees must acknowledge the concern, explain what will happen next, and set realistic expectations. At the same time, employees must avoid unapproved promises, blame, speculation, or technical conclusions that have not been verified. An escalated case should be calmer and more structured after handoff.</w:t>
      </w:r>
    </w:p>
    <w:p>
      <w:pPr>
        <w:jc w:val="both"/>
      </w:pPr>
      <w:r>
        <w:t>The company uses a single-owner model. When a case enters an escalation queue, one accountable owner must be assigned. Other teams may contribute, but the owner is responsible for tracking the SLA, coordinating evidence, updating the customer, and closing the loop. If ownership changes, the prior owner must document the reason and complete a warm handoff.</w:t>
      </w:r>
    </w:p>
    <w:p>
      <w:pPr>
        <w:pStyle w:val="ListBullet"/>
      </w:pPr>
      <w:r>
        <w:t>Escalate early when safety, privacy, security, chargeback risk, executive visibility, legal exposure, or product defect risk is present.</w:t>
      </w:r>
    </w:p>
    <w:p>
      <w:pPr>
        <w:pStyle w:val="ListBullet"/>
      </w:pPr>
      <w:r>
        <w:t>Do not escalate merely because a customer is unhappy if the case can be resolved by the frontline agent within policy and authority.</w:t>
      </w:r>
    </w:p>
    <w:p>
      <w:pPr>
        <w:pStyle w:val="ListBullet"/>
      </w:pPr>
      <w:r>
        <w:t>Escalation must include a concise summary, not a long unstructured transcript. The receiving team should understand the issue within two minutes.</w:t>
      </w:r>
    </w:p>
    <w:p>
      <w:pPr>
        <w:pStyle w:val="ListBullet"/>
      </w:pPr>
      <w:r>
        <w:t>The escalation owner must maintain customer communication even when a technical, warehouse, finance, or risk team is still investigating.</w:t>
      </w:r>
    </w:p>
    <w:p>
      <w:pPr>
        <w:pStyle w:val="ListBullet"/>
      </w:pPr>
      <w:r>
        <w:t>Every escalation must end with a documented outcome, root cause when known, resolution action, and prevention note when applicable.</w:t>
      </w:r>
    </w:p>
    <w:p>
      <w:pPr>
        <w:pStyle w:val="Heading1"/>
      </w:pPr>
      <w:r>
        <w:t>3. Escalation Levels and Severity</w:t>
      </w:r>
    </w:p>
    <w:p>
      <w:pPr>
        <w:jc w:val="both"/>
      </w:pPr>
      <w:r>
        <w:t>Severity levels help teams prioritize work consistently. Severity should reflect customer impact, operational risk, safety risk, privacy risk, financial exposure, and time sensitivity. Severity may increase or decrease as facts are gathered. When uncertain, employees should assign the higher reasonable severity and ask a lead to review within the first response window.</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864"/>
            <w:shd w:fill="D9EAF7"/>
            <w:vAlign w:val="center"/>
          </w:tcPr>
          <w:p>
            <w:r/>
            <w:r>
              <w:rPr>
                <w:rFonts w:ascii="Calibri" w:hAnsi="Calibri"/>
                <w:b/>
                <w:sz w:val="17"/>
              </w:rPr>
              <w:t>Level</w:t>
            </w:r>
          </w:p>
        </w:tc>
        <w:tc>
          <w:tcPr>
            <w:tcW w:type="dxa" w:w="1584"/>
            <w:shd w:fill="D9EAF7"/>
            <w:vAlign w:val="center"/>
          </w:tcPr>
          <w:p>
            <w:r/>
            <w:r>
              <w:rPr>
                <w:rFonts w:ascii="Calibri" w:hAnsi="Calibri"/>
                <w:b/>
                <w:sz w:val="17"/>
              </w:rPr>
              <w:t>Name</w:t>
            </w:r>
          </w:p>
        </w:tc>
        <w:tc>
          <w:tcPr>
            <w:tcW w:type="dxa" w:w="4320"/>
            <w:shd w:fill="D9EAF7"/>
            <w:vAlign w:val="center"/>
          </w:tcPr>
          <w:p>
            <w:r/>
            <w:r>
              <w:rPr>
                <w:rFonts w:ascii="Calibri" w:hAnsi="Calibri"/>
                <w:b/>
                <w:sz w:val="17"/>
              </w:rPr>
              <w:t>Typical Triggers</w:t>
            </w:r>
          </w:p>
        </w:tc>
        <w:tc>
          <w:tcPr>
            <w:tcW w:type="dxa" w:w="1728"/>
            <w:shd w:fill="D9EAF7"/>
            <w:vAlign w:val="center"/>
          </w:tcPr>
          <w:p>
            <w:r/>
            <w:r>
              <w:rPr>
                <w:rFonts w:ascii="Calibri" w:hAnsi="Calibri"/>
                <w:b/>
                <w:sz w:val="17"/>
              </w:rPr>
              <w:t>Target First Action</w:t>
            </w:r>
          </w:p>
        </w:tc>
        <w:tc>
          <w:tcPr>
            <w:tcW w:type="dxa" w:w="1728"/>
            <w:shd w:fill="D9EAF7"/>
            <w:vAlign w:val="center"/>
          </w:tcPr>
          <w:p>
            <w:r/>
            <w:r>
              <w:rPr>
                <w:rFonts w:ascii="Calibri" w:hAnsi="Calibri"/>
                <w:b/>
                <w:sz w:val="17"/>
              </w:rPr>
              <w:t>Owner</w:t>
            </w:r>
          </w:p>
        </w:tc>
      </w:tr>
      <w:tr>
        <w:tc>
          <w:tcPr>
            <w:tcW w:type="dxa" w:w="864"/>
            <w:vAlign w:val="top"/>
          </w:tcPr>
          <w:p>
            <w:r/>
            <w:r>
              <w:rPr>
                <w:rFonts w:ascii="Calibri" w:hAnsi="Calibri"/>
                <w:b w:val="0"/>
                <w:sz w:val="16"/>
              </w:rPr>
              <w:t>L0</w:t>
            </w:r>
          </w:p>
        </w:tc>
        <w:tc>
          <w:tcPr>
            <w:tcW w:type="dxa" w:w="1584"/>
            <w:vAlign w:val="top"/>
          </w:tcPr>
          <w:p>
            <w:r/>
            <w:r>
              <w:rPr>
                <w:rFonts w:ascii="Calibri" w:hAnsi="Calibri"/>
                <w:b w:val="0"/>
                <w:sz w:val="16"/>
              </w:rPr>
              <w:t>Routine Support</w:t>
            </w:r>
          </w:p>
        </w:tc>
        <w:tc>
          <w:tcPr>
            <w:tcW w:type="dxa" w:w="4320"/>
            <w:vAlign w:val="top"/>
          </w:tcPr>
          <w:p>
            <w:r/>
            <w:r>
              <w:rPr>
                <w:rFonts w:ascii="Calibri" w:hAnsi="Calibri"/>
                <w:b w:val="0"/>
                <w:sz w:val="16"/>
              </w:rPr>
              <w:t>Standard product questions, order status, simple return eligibility, basic setup guidance, address correction before shipment.</w:t>
            </w:r>
          </w:p>
        </w:tc>
        <w:tc>
          <w:tcPr>
            <w:tcW w:type="dxa" w:w="1728"/>
            <w:vAlign w:val="top"/>
          </w:tcPr>
          <w:p>
            <w:r/>
            <w:r>
              <w:rPr>
                <w:rFonts w:ascii="Calibri" w:hAnsi="Calibri"/>
                <w:b w:val="0"/>
                <w:sz w:val="16"/>
              </w:rPr>
              <w:t>Handled in normal queue.</w:t>
            </w:r>
          </w:p>
        </w:tc>
        <w:tc>
          <w:tcPr>
            <w:tcW w:type="dxa" w:w="1728"/>
            <w:vAlign w:val="top"/>
          </w:tcPr>
          <w:p>
            <w:r/>
            <w:r>
              <w:rPr>
                <w:rFonts w:ascii="Calibri" w:hAnsi="Calibri"/>
                <w:b w:val="0"/>
                <w:sz w:val="16"/>
              </w:rPr>
              <w:t>Frontline agent</w:t>
            </w:r>
          </w:p>
        </w:tc>
      </w:tr>
      <w:tr>
        <w:tc>
          <w:tcPr>
            <w:tcW w:type="dxa" w:w="864"/>
            <w:vAlign w:val="top"/>
          </w:tcPr>
          <w:p>
            <w:r/>
            <w:r>
              <w:rPr>
                <w:rFonts w:ascii="Calibri" w:hAnsi="Calibri"/>
                <w:b w:val="0"/>
                <w:sz w:val="16"/>
              </w:rPr>
              <w:t>L1</w:t>
            </w:r>
          </w:p>
        </w:tc>
        <w:tc>
          <w:tcPr>
            <w:tcW w:type="dxa" w:w="1584"/>
            <w:vAlign w:val="top"/>
          </w:tcPr>
          <w:p>
            <w:r/>
            <w:r>
              <w:rPr>
                <w:rFonts w:ascii="Calibri" w:hAnsi="Calibri"/>
                <w:b w:val="0"/>
                <w:sz w:val="16"/>
              </w:rPr>
              <w:t>Assisted Support</w:t>
            </w:r>
          </w:p>
        </w:tc>
        <w:tc>
          <w:tcPr>
            <w:tcW w:type="dxa" w:w="4320"/>
            <w:vAlign w:val="top"/>
          </w:tcPr>
          <w:p>
            <w:r/>
            <w:r>
              <w:rPr>
                <w:rFonts w:ascii="Calibri" w:hAnsi="Calibri"/>
                <w:b w:val="0"/>
                <w:sz w:val="16"/>
              </w:rPr>
              <w:t>Customer has contacted more than once, needs supervisor clarification, routine policy interpretation, minor delivery delay, basic technical troubleshooting beyond script.</w:t>
            </w:r>
          </w:p>
        </w:tc>
        <w:tc>
          <w:tcPr>
            <w:tcW w:type="dxa" w:w="1728"/>
            <w:vAlign w:val="top"/>
          </w:tcPr>
          <w:p>
            <w:r/>
            <w:r>
              <w:rPr>
                <w:rFonts w:ascii="Calibri" w:hAnsi="Calibri"/>
                <w:b w:val="0"/>
                <w:sz w:val="16"/>
              </w:rPr>
              <w:t>Same business day.</w:t>
            </w:r>
          </w:p>
        </w:tc>
        <w:tc>
          <w:tcPr>
            <w:tcW w:type="dxa" w:w="1728"/>
            <w:vAlign w:val="top"/>
          </w:tcPr>
          <w:p>
            <w:r/>
            <w:r>
              <w:rPr>
                <w:rFonts w:ascii="Calibri" w:hAnsi="Calibri"/>
                <w:b w:val="0"/>
                <w:sz w:val="16"/>
              </w:rPr>
              <w:t>Senior agent or team lead</w:t>
            </w:r>
          </w:p>
        </w:tc>
      </w:tr>
      <w:tr>
        <w:tc>
          <w:tcPr>
            <w:tcW w:type="dxa" w:w="864"/>
            <w:vAlign w:val="top"/>
          </w:tcPr>
          <w:p>
            <w:r/>
            <w:r>
              <w:rPr>
                <w:rFonts w:ascii="Calibri" w:hAnsi="Calibri"/>
                <w:b w:val="0"/>
                <w:sz w:val="16"/>
              </w:rPr>
              <w:t>L2</w:t>
            </w:r>
          </w:p>
        </w:tc>
        <w:tc>
          <w:tcPr>
            <w:tcW w:type="dxa" w:w="1584"/>
            <w:vAlign w:val="top"/>
          </w:tcPr>
          <w:p>
            <w:r/>
            <w:r>
              <w:rPr>
                <w:rFonts w:ascii="Calibri" w:hAnsi="Calibri"/>
                <w:b w:val="0"/>
                <w:sz w:val="16"/>
              </w:rPr>
              <w:t>Specialist Escalation</w:t>
            </w:r>
          </w:p>
        </w:tc>
        <w:tc>
          <w:tcPr>
            <w:tcW w:type="dxa" w:w="4320"/>
            <w:vAlign w:val="top"/>
          </w:tcPr>
          <w:p>
            <w:r/>
            <w:r>
              <w:rPr>
                <w:rFonts w:ascii="Calibri" w:hAnsi="Calibri"/>
                <w:b w:val="0"/>
                <w:sz w:val="16"/>
              </w:rPr>
              <w:t>Refund exception, missing return scan, device diagnostic review, smart lock/camera malfunction, warranty dispute, repeated failed troubleshooting, marketplace case.</w:t>
            </w:r>
          </w:p>
        </w:tc>
        <w:tc>
          <w:tcPr>
            <w:tcW w:type="dxa" w:w="1728"/>
            <w:vAlign w:val="top"/>
          </w:tcPr>
          <w:p>
            <w:r/>
            <w:r>
              <w:rPr>
                <w:rFonts w:ascii="Calibri" w:hAnsi="Calibri"/>
                <w:b w:val="0"/>
                <w:sz w:val="16"/>
              </w:rPr>
              <w:t>Within 4 business hours.</w:t>
            </w:r>
          </w:p>
        </w:tc>
        <w:tc>
          <w:tcPr>
            <w:tcW w:type="dxa" w:w="1728"/>
            <w:vAlign w:val="top"/>
          </w:tcPr>
          <w:p>
            <w:r/>
            <w:r>
              <w:rPr>
                <w:rFonts w:ascii="Calibri" w:hAnsi="Calibri"/>
                <w:b w:val="0"/>
                <w:sz w:val="16"/>
              </w:rPr>
              <w:t>Specialist or escalation owner</w:t>
            </w:r>
          </w:p>
        </w:tc>
      </w:tr>
      <w:tr>
        <w:tc>
          <w:tcPr>
            <w:tcW w:type="dxa" w:w="864"/>
            <w:vAlign w:val="top"/>
          </w:tcPr>
          <w:p>
            <w:r/>
            <w:r>
              <w:rPr>
                <w:rFonts w:ascii="Calibri" w:hAnsi="Calibri"/>
                <w:b w:val="0"/>
                <w:sz w:val="16"/>
              </w:rPr>
              <w:t>L3</w:t>
            </w:r>
          </w:p>
        </w:tc>
        <w:tc>
          <w:tcPr>
            <w:tcW w:type="dxa" w:w="1584"/>
            <w:vAlign w:val="top"/>
          </w:tcPr>
          <w:p>
            <w:r/>
            <w:r>
              <w:rPr>
                <w:rFonts w:ascii="Calibri" w:hAnsi="Calibri"/>
                <w:b w:val="0"/>
                <w:sz w:val="16"/>
              </w:rPr>
              <w:t>Critical Escalation</w:t>
            </w:r>
          </w:p>
        </w:tc>
        <w:tc>
          <w:tcPr>
            <w:tcW w:type="dxa" w:w="4320"/>
            <w:vAlign w:val="top"/>
          </w:tcPr>
          <w:p>
            <w:r/>
            <w:r>
              <w:rPr>
                <w:rFonts w:ascii="Calibri" w:hAnsi="Calibri"/>
                <w:b w:val="0"/>
                <w:sz w:val="16"/>
              </w:rPr>
              <w:t>Potential safety issue, privacy complaint, security system failure, payment dispute risk, suspected fraud, high-value order issue, executive complaint, public social complaint.</w:t>
            </w:r>
          </w:p>
        </w:tc>
        <w:tc>
          <w:tcPr>
            <w:tcW w:type="dxa" w:w="1728"/>
            <w:vAlign w:val="top"/>
          </w:tcPr>
          <w:p>
            <w:r/>
            <w:r>
              <w:rPr>
                <w:rFonts w:ascii="Calibri" w:hAnsi="Calibri"/>
                <w:b w:val="0"/>
                <w:sz w:val="16"/>
              </w:rPr>
              <w:t>Within 1 business hour.</w:t>
            </w:r>
          </w:p>
        </w:tc>
        <w:tc>
          <w:tcPr>
            <w:tcW w:type="dxa" w:w="1728"/>
            <w:vAlign w:val="top"/>
          </w:tcPr>
          <w:p>
            <w:r/>
            <w:r>
              <w:rPr>
                <w:rFonts w:ascii="Calibri" w:hAnsi="Calibri"/>
                <w:b w:val="0"/>
                <w:sz w:val="16"/>
              </w:rPr>
              <w:t>Escalation manager</w:t>
            </w:r>
          </w:p>
        </w:tc>
      </w:tr>
      <w:tr>
        <w:tc>
          <w:tcPr>
            <w:tcW w:type="dxa" w:w="864"/>
            <w:vAlign w:val="top"/>
          </w:tcPr>
          <w:p>
            <w:r/>
            <w:r>
              <w:rPr>
                <w:rFonts w:ascii="Calibri" w:hAnsi="Calibri"/>
                <w:b w:val="0"/>
                <w:sz w:val="16"/>
              </w:rPr>
              <w:t>L4</w:t>
            </w:r>
          </w:p>
        </w:tc>
        <w:tc>
          <w:tcPr>
            <w:tcW w:type="dxa" w:w="1584"/>
            <w:vAlign w:val="top"/>
          </w:tcPr>
          <w:p>
            <w:r/>
            <w:r>
              <w:rPr>
                <w:rFonts w:ascii="Calibri" w:hAnsi="Calibri"/>
                <w:b w:val="0"/>
                <w:sz w:val="16"/>
              </w:rPr>
              <w:t>Incident / Leadership Escalation</w:t>
            </w:r>
          </w:p>
        </w:tc>
        <w:tc>
          <w:tcPr>
            <w:tcW w:type="dxa" w:w="4320"/>
            <w:vAlign w:val="top"/>
          </w:tcPr>
          <w:p>
            <w:r/>
            <w:r>
              <w:rPr>
                <w:rFonts w:ascii="Calibri" w:hAnsi="Calibri"/>
                <w:b w:val="0"/>
                <w:sz w:val="16"/>
              </w:rPr>
              <w:t>Widespread outage, data exposure concern, product safety pattern, regulatory inquiry, media threat, class-impacting shipment error, major chargeback event.</w:t>
            </w:r>
          </w:p>
        </w:tc>
        <w:tc>
          <w:tcPr>
            <w:tcW w:type="dxa" w:w="1728"/>
            <w:vAlign w:val="top"/>
          </w:tcPr>
          <w:p>
            <w:r/>
            <w:r>
              <w:rPr>
                <w:rFonts w:ascii="Calibri" w:hAnsi="Calibri"/>
                <w:b w:val="0"/>
                <w:sz w:val="16"/>
              </w:rPr>
              <w:t>Immediate notification.</w:t>
            </w:r>
          </w:p>
        </w:tc>
        <w:tc>
          <w:tcPr>
            <w:tcW w:type="dxa" w:w="1728"/>
            <w:vAlign w:val="top"/>
          </w:tcPr>
          <w:p>
            <w:r/>
            <w:r>
              <w:rPr>
                <w:rFonts w:ascii="Calibri" w:hAnsi="Calibri"/>
                <w:b w:val="0"/>
                <w:sz w:val="16"/>
              </w:rPr>
              <w:t>Incident lead and operations leadership</w:t>
            </w:r>
          </w:p>
        </w:tc>
      </w:tr>
    </w:tbl>
    <w:p/>
    <w:p>
      <w:pPr>
        <w:jc w:val="both"/>
      </w:pPr>
      <w:r>
        <w:t>The severity level must be entered in the ticket using the approved field. Agents should not use severity labels casually in notes without updating the structured field. Structured severity data supports queue prioritization, SLA reporting, trend analysis, and future automation.</w:t>
      </w:r>
    </w:p>
    <w:p>
      <w:pPr>
        <w:pStyle w:val="Heading1"/>
      </w:pPr>
      <w:r>
        <w:t>4. Roles and Ownership</w:t>
      </w:r>
    </w:p>
    <w:p>
      <w:pPr>
        <w:jc w:val="both"/>
      </w:pPr>
      <w:r>
        <w:t>Escalation requires clear responsibility across teams. The following role definitions apply to all escalated cases. Smaller teams may combine roles, but the same controls must remain: one case owner, defined decision authority, and documented approvals for exceptions.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
              <w:rPr>
                <w:rFonts w:ascii="Calibri" w:hAnsi="Calibri"/>
                <w:b/>
                <w:sz w:val="17"/>
              </w:rPr>
              <w:t>Role</w:t>
            </w:r>
          </w:p>
        </w:tc>
        <w:tc>
          <w:tcPr>
            <w:tcW w:type="dxa" w:w="3408"/>
            <w:shd w:fill="D9EAF7"/>
            <w:vAlign w:val="center"/>
          </w:tcPr>
          <w:p>
            <w:r/>
            <w:r>
              <w:rPr>
                <w:rFonts w:ascii="Calibri" w:hAnsi="Calibri"/>
                <w:b/>
                <w:sz w:val="17"/>
              </w:rPr>
              <w:t>Responsibilities</w:t>
            </w:r>
          </w:p>
        </w:tc>
        <w:tc>
          <w:tcPr>
            <w:tcW w:type="dxa" w:w="3408"/>
            <w:shd w:fill="D9EAF7"/>
            <w:vAlign w:val="center"/>
          </w:tcPr>
          <w:p>
            <w:r/>
            <w:r>
              <w:rPr>
                <w:rFonts w:ascii="Calibri" w:hAnsi="Calibri"/>
                <w:b/>
                <w:sz w:val="17"/>
              </w:rPr>
              <w:t>Decision Authority</w:t>
            </w:r>
          </w:p>
        </w:tc>
      </w:tr>
      <w:tr>
        <w:tc>
          <w:tcPr>
            <w:tcW w:type="dxa" w:w="3408"/>
            <w:vAlign w:val="top"/>
          </w:tcPr>
          <w:p>
            <w:r/>
            <w:r>
              <w:rPr>
                <w:rFonts w:ascii="Calibri" w:hAnsi="Calibri"/>
                <w:b w:val="0"/>
                <w:sz w:val="16"/>
              </w:rPr>
              <w:t>Frontline Customer Service Agent</w:t>
            </w:r>
          </w:p>
        </w:tc>
        <w:tc>
          <w:tcPr>
            <w:tcW w:type="dxa" w:w="3408"/>
            <w:vAlign w:val="top"/>
          </w:tcPr>
          <w:p>
            <w:r/>
            <w:r>
              <w:rPr>
                <w:rFonts w:ascii="Calibri" w:hAnsi="Calibri"/>
                <w:b w:val="0"/>
                <w:sz w:val="16"/>
              </w:rPr>
              <w:t>Identify escalation triggers, complete verification, gather facts, attempt standard resolution, set expectations, and route the case.</w:t>
            </w:r>
          </w:p>
        </w:tc>
        <w:tc>
          <w:tcPr>
            <w:tcW w:type="dxa" w:w="3408"/>
            <w:vAlign w:val="top"/>
          </w:tcPr>
          <w:p>
            <w:r/>
            <w:r>
              <w:rPr>
                <w:rFonts w:ascii="Calibri" w:hAnsi="Calibri"/>
                <w:b w:val="0"/>
                <w:sz w:val="16"/>
              </w:rPr>
              <w:t>May escalate and recommend action; may not approve restricted exceptions.</w:t>
            </w:r>
          </w:p>
        </w:tc>
      </w:tr>
      <w:tr>
        <w:tc>
          <w:tcPr>
            <w:tcW w:type="dxa" w:w="3408"/>
            <w:vAlign w:val="top"/>
          </w:tcPr>
          <w:p>
            <w:r/>
            <w:r>
              <w:rPr>
                <w:rFonts w:ascii="Calibri" w:hAnsi="Calibri"/>
                <w:b w:val="0"/>
                <w:sz w:val="16"/>
              </w:rPr>
              <w:t>Senior Agent</w:t>
            </w:r>
          </w:p>
        </w:tc>
        <w:tc>
          <w:tcPr>
            <w:tcW w:type="dxa" w:w="3408"/>
            <w:vAlign w:val="top"/>
          </w:tcPr>
          <w:p>
            <w:r/>
            <w:r>
              <w:rPr>
                <w:rFonts w:ascii="Calibri" w:hAnsi="Calibri"/>
                <w:b w:val="0"/>
                <w:sz w:val="16"/>
              </w:rPr>
              <w:t>Handle L1 cases, coach frontline agents, validate policy interpretation, prepare concise handoff summaries.</w:t>
            </w:r>
          </w:p>
        </w:tc>
        <w:tc>
          <w:tcPr>
            <w:tcW w:type="dxa" w:w="3408"/>
            <w:vAlign w:val="top"/>
          </w:tcPr>
          <w:p>
            <w:r/>
            <w:r>
              <w:rPr>
                <w:rFonts w:ascii="Calibri" w:hAnsi="Calibri"/>
                <w:b w:val="0"/>
                <w:sz w:val="16"/>
              </w:rPr>
              <w:t>May resolve within senior agent authority.</w:t>
            </w:r>
          </w:p>
        </w:tc>
      </w:tr>
      <w:tr>
        <w:tc>
          <w:tcPr>
            <w:tcW w:type="dxa" w:w="3408"/>
            <w:vAlign w:val="top"/>
          </w:tcPr>
          <w:p>
            <w:r/>
            <w:r>
              <w:rPr>
                <w:rFonts w:ascii="Calibri" w:hAnsi="Calibri"/>
                <w:b w:val="0"/>
                <w:sz w:val="16"/>
              </w:rPr>
              <w:t>Team Lead / Supervisor</w:t>
            </w:r>
          </w:p>
        </w:tc>
        <w:tc>
          <w:tcPr>
            <w:tcW w:type="dxa" w:w="3408"/>
            <w:vAlign w:val="top"/>
          </w:tcPr>
          <w:p>
            <w:r/>
            <w:r>
              <w:rPr>
                <w:rFonts w:ascii="Calibri" w:hAnsi="Calibri"/>
                <w:b w:val="0"/>
                <w:sz w:val="16"/>
              </w:rPr>
              <w:t>Review L1 and selected L2 cases, approve routine exceptions, manage customer dissatisfaction, monitor SLA risk.</w:t>
            </w:r>
          </w:p>
        </w:tc>
        <w:tc>
          <w:tcPr>
            <w:tcW w:type="dxa" w:w="3408"/>
            <w:vAlign w:val="top"/>
          </w:tcPr>
          <w:p>
            <w:r/>
            <w:r>
              <w:rPr>
                <w:rFonts w:ascii="Calibri" w:hAnsi="Calibri"/>
                <w:b w:val="0"/>
                <w:sz w:val="16"/>
              </w:rPr>
              <w:t>May approve supervisor-level exceptions.</w:t>
            </w:r>
          </w:p>
        </w:tc>
      </w:tr>
      <w:tr>
        <w:tc>
          <w:tcPr>
            <w:tcW w:type="dxa" w:w="3408"/>
            <w:vAlign w:val="top"/>
          </w:tcPr>
          <w:p>
            <w:r/>
            <w:r>
              <w:rPr>
                <w:rFonts w:ascii="Calibri" w:hAnsi="Calibri"/>
                <w:b w:val="0"/>
                <w:sz w:val="16"/>
              </w:rPr>
              <w:t>Escalation Specialist</w:t>
            </w:r>
          </w:p>
        </w:tc>
        <w:tc>
          <w:tcPr>
            <w:tcW w:type="dxa" w:w="3408"/>
            <w:vAlign w:val="top"/>
          </w:tcPr>
          <w:p>
            <w:r/>
            <w:r>
              <w:rPr>
                <w:rFonts w:ascii="Calibri" w:hAnsi="Calibri"/>
                <w:b w:val="0"/>
                <w:sz w:val="16"/>
              </w:rPr>
              <w:t>Own L2 cases, coordinate with technical, warehouse, finance, and risk teams, maintain customer updates.</w:t>
            </w:r>
          </w:p>
        </w:tc>
        <w:tc>
          <w:tcPr>
            <w:tcW w:type="dxa" w:w="3408"/>
            <w:vAlign w:val="top"/>
          </w:tcPr>
          <w:p>
            <w:r/>
            <w:r>
              <w:rPr>
                <w:rFonts w:ascii="Calibri" w:hAnsi="Calibri"/>
                <w:b w:val="0"/>
                <w:sz w:val="16"/>
              </w:rPr>
              <w:t>May approve standard specialist resolutions.</w:t>
            </w:r>
          </w:p>
        </w:tc>
      </w:tr>
      <w:tr>
        <w:tc>
          <w:tcPr>
            <w:tcW w:type="dxa" w:w="3408"/>
            <w:vAlign w:val="top"/>
          </w:tcPr>
          <w:p>
            <w:r/>
            <w:r>
              <w:rPr>
                <w:rFonts w:ascii="Calibri" w:hAnsi="Calibri"/>
                <w:b w:val="0"/>
                <w:sz w:val="16"/>
              </w:rPr>
              <w:t>Escalation Manager</w:t>
            </w:r>
          </w:p>
        </w:tc>
        <w:tc>
          <w:tcPr>
            <w:tcW w:type="dxa" w:w="3408"/>
            <w:vAlign w:val="top"/>
          </w:tcPr>
          <w:p>
            <w:r/>
            <w:r>
              <w:rPr>
                <w:rFonts w:ascii="Calibri" w:hAnsi="Calibri"/>
                <w:b w:val="0"/>
                <w:sz w:val="16"/>
              </w:rPr>
              <w:t>Own L3 cases, manage sensitive complaints, coordinate leadership communications, approve high-impact decisions.</w:t>
            </w:r>
          </w:p>
        </w:tc>
        <w:tc>
          <w:tcPr>
            <w:tcW w:type="dxa" w:w="3408"/>
            <w:vAlign w:val="top"/>
          </w:tcPr>
          <w:p>
            <w:r/>
            <w:r>
              <w:rPr>
                <w:rFonts w:ascii="Calibri" w:hAnsi="Calibri"/>
                <w:b w:val="0"/>
                <w:sz w:val="16"/>
              </w:rPr>
              <w:t>May approve high-value or sensitive exceptions within policy.</w:t>
            </w:r>
          </w:p>
        </w:tc>
      </w:tr>
      <w:tr>
        <w:tc>
          <w:tcPr>
            <w:tcW w:type="dxa" w:w="3408"/>
            <w:vAlign w:val="top"/>
          </w:tcPr>
          <w:p>
            <w:r/>
            <w:r>
              <w:rPr>
                <w:rFonts w:ascii="Calibri" w:hAnsi="Calibri"/>
                <w:b w:val="0"/>
                <w:sz w:val="16"/>
              </w:rPr>
              <w:t>Technical Support Specialist</w:t>
            </w:r>
          </w:p>
        </w:tc>
        <w:tc>
          <w:tcPr>
            <w:tcW w:type="dxa" w:w="3408"/>
            <w:vAlign w:val="top"/>
          </w:tcPr>
          <w:p>
            <w:r/>
            <w:r>
              <w:rPr>
                <w:rFonts w:ascii="Calibri" w:hAnsi="Calibri"/>
                <w:b w:val="0"/>
                <w:sz w:val="16"/>
              </w:rPr>
              <w:t>Review device diagnostics, firmware logs, connectivity failures, compatibility issues, and troubleshooting history.</w:t>
            </w:r>
          </w:p>
        </w:tc>
        <w:tc>
          <w:tcPr>
            <w:tcW w:type="dxa" w:w="3408"/>
            <w:vAlign w:val="top"/>
          </w:tcPr>
          <w:p>
            <w:r/>
            <w:r>
              <w:rPr>
                <w:rFonts w:ascii="Calibri" w:hAnsi="Calibri"/>
                <w:b w:val="0"/>
                <w:sz w:val="16"/>
              </w:rPr>
              <w:t>Provides technical recommendation and defect classification.</w:t>
            </w:r>
          </w:p>
        </w:tc>
      </w:tr>
      <w:tr>
        <w:tc>
          <w:tcPr>
            <w:tcW w:type="dxa" w:w="3408"/>
            <w:vAlign w:val="top"/>
          </w:tcPr>
          <w:p>
            <w:r/>
            <w:r>
              <w:rPr>
                <w:rFonts w:ascii="Calibri" w:hAnsi="Calibri"/>
                <w:b w:val="0"/>
                <w:sz w:val="16"/>
              </w:rPr>
              <w:t>Warehouse / Logistics Coordinator</w:t>
            </w:r>
          </w:p>
        </w:tc>
        <w:tc>
          <w:tcPr>
            <w:tcW w:type="dxa" w:w="3408"/>
            <w:vAlign w:val="top"/>
          </w:tcPr>
          <w:p>
            <w:r/>
            <w:r>
              <w:rPr>
                <w:rFonts w:ascii="Calibri" w:hAnsi="Calibri"/>
                <w:b w:val="0"/>
                <w:sz w:val="16"/>
              </w:rPr>
              <w:t>Investigate delivery exceptions, return receipt gaps, inspection disputes, damaged package evidence, carrier claims.</w:t>
            </w:r>
          </w:p>
        </w:tc>
        <w:tc>
          <w:tcPr>
            <w:tcW w:type="dxa" w:w="3408"/>
            <w:vAlign w:val="top"/>
          </w:tcPr>
          <w:p>
            <w:r/>
            <w:r>
              <w:rPr>
                <w:rFonts w:ascii="Calibri" w:hAnsi="Calibri"/>
                <w:b w:val="0"/>
                <w:sz w:val="16"/>
              </w:rPr>
              <w:t>Provides logistics finding and supporting evidence.</w:t>
            </w:r>
          </w:p>
        </w:tc>
      </w:tr>
      <w:tr>
        <w:tc>
          <w:tcPr>
            <w:tcW w:type="dxa" w:w="3408"/>
            <w:vAlign w:val="top"/>
          </w:tcPr>
          <w:p>
            <w:r/>
            <w:r>
              <w:rPr>
                <w:rFonts w:ascii="Calibri" w:hAnsi="Calibri"/>
                <w:b w:val="0"/>
                <w:sz w:val="16"/>
              </w:rPr>
              <w:t>Finance Operations</w:t>
            </w:r>
          </w:p>
        </w:tc>
        <w:tc>
          <w:tcPr>
            <w:tcW w:type="dxa" w:w="3408"/>
            <w:vAlign w:val="top"/>
          </w:tcPr>
          <w:p>
            <w:r/>
            <w:r>
              <w:rPr>
                <w:rFonts w:ascii="Calibri" w:hAnsi="Calibri"/>
                <w:b w:val="0"/>
                <w:sz w:val="16"/>
              </w:rPr>
              <w:t>Validate payment constraints, failed refunds, duplicate charges, chargeback status, reconciliation adjustments.</w:t>
            </w:r>
          </w:p>
        </w:tc>
        <w:tc>
          <w:tcPr>
            <w:tcW w:type="dxa" w:w="3408"/>
            <w:vAlign w:val="top"/>
          </w:tcPr>
          <w:p>
            <w:r/>
            <w:r>
              <w:rPr>
                <w:rFonts w:ascii="Calibri" w:hAnsi="Calibri"/>
                <w:b w:val="0"/>
                <w:sz w:val="16"/>
              </w:rPr>
              <w:t>Executes approved financial actions.</w:t>
            </w:r>
          </w:p>
        </w:tc>
      </w:tr>
      <w:tr>
        <w:tc>
          <w:tcPr>
            <w:tcW w:type="dxa" w:w="3408"/>
            <w:vAlign w:val="top"/>
          </w:tcPr>
          <w:p>
            <w:r/>
            <w:r>
              <w:rPr>
                <w:rFonts w:ascii="Calibri" w:hAnsi="Calibri"/>
                <w:b w:val="0"/>
                <w:sz w:val="16"/>
              </w:rPr>
              <w:t>Fraud / Risk Analyst</w:t>
            </w:r>
          </w:p>
        </w:tc>
        <w:tc>
          <w:tcPr>
            <w:tcW w:type="dxa" w:w="3408"/>
            <w:vAlign w:val="top"/>
          </w:tcPr>
          <w:p>
            <w:r/>
            <w:r>
              <w:rPr>
                <w:rFonts w:ascii="Calibri" w:hAnsi="Calibri"/>
                <w:b w:val="0"/>
                <w:sz w:val="16"/>
              </w:rPr>
              <w:t>Review suspicious claims, repeated refunds, account takeover indicators, address mismatch, reseller abuse, payment risk.</w:t>
            </w:r>
          </w:p>
        </w:tc>
        <w:tc>
          <w:tcPr>
            <w:tcW w:type="dxa" w:w="3408"/>
            <w:vAlign w:val="top"/>
          </w:tcPr>
          <w:p>
            <w:r/>
            <w:r>
              <w:rPr>
                <w:rFonts w:ascii="Calibri" w:hAnsi="Calibri"/>
                <w:b w:val="0"/>
                <w:sz w:val="16"/>
              </w:rPr>
              <w:t>May hold, deny, or require verification under risk policy.</w:t>
            </w:r>
          </w:p>
        </w:tc>
      </w:tr>
      <w:tr>
        <w:tc>
          <w:tcPr>
            <w:tcW w:type="dxa" w:w="3408"/>
            <w:vAlign w:val="top"/>
          </w:tcPr>
          <w:p>
            <w:r/>
            <w:r>
              <w:rPr>
                <w:rFonts w:ascii="Calibri" w:hAnsi="Calibri"/>
                <w:b w:val="0"/>
                <w:sz w:val="16"/>
              </w:rPr>
              <w:t>Privacy / Legal Contact</w:t>
            </w:r>
          </w:p>
        </w:tc>
        <w:tc>
          <w:tcPr>
            <w:tcW w:type="dxa" w:w="3408"/>
            <w:vAlign w:val="top"/>
          </w:tcPr>
          <w:p>
            <w:r/>
            <w:r>
              <w:rPr>
                <w:rFonts w:ascii="Calibri" w:hAnsi="Calibri"/>
                <w:b w:val="0"/>
                <w:sz w:val="16"/>
              </w:rPr>
              <w:t>Review privacy complaints, data access requests, data deletion concerns, subpoenas, regulatory threats.</w:t>
            </w:r>
          </w:p>
        </w:tc>
        <w:tc>
          <w:tcPr>
            <w:tcW w:type="dxa" w:w="3408"/>
            <w:vAlign w:val="top"/>
          </w:tcPr>
          <w:p>
            <w:r/>
            <w:r>
              <w:rPr>
                <w:rFonts w:ascii="Calibri" w:hAnsi="Calibri"/>
                <w:b w:val="0"/>
                <w:sz w:val="16"/>
              </w:rPr>
              <w:t>Provides required handling instructions.</w:t>
            </w:r>
          </w:p>
        </w:tc>
      </w:tr>
    </w:tbl>
    <w:p/>
    <w:p>
      <w:pPr>
        <w:pStyle w:val="Heading1"/>
      </w:pPr>
      <w:r>
        <w:t>5. Standard Escalation Workflow</w:t>
      </w:r>
    </w:p>
    <w:p>
      <w:pPr>
        <w:jc w:val="both"/>
      </w:pPr>
      <w:r>
        <w:t>The standard escalation workflow is designed to move a case from uncertainty to accountable resolution. Employees should not skip verification or documentation steps simply because a customer is upset. However, for safety, privacy, security, or incident cases, employees should notify the appropriate owner immediately while continuing to collect facts.</w:t>
      </w:r>
    </w:p>
    <w:p>
      <w:pPr>
        <w:pStyle w:val="Heading3"/>
      </w:pPr>
      <w:r>
        <w:t>Standard Escalation Flow</w:t>
      </w:r>
    </w:p>
    <w:p>
      <w:pPr>
        <w:pStyle w:val="IntenseQuote"/>
      </w:pPr>
      <w:r>
        <w:t>Identify trigger  -&gt;  Verify customer and order  -&gt;  Assign severity  -&gt;  Create escalation summary  -&gt;  Route to owner  -&gt;  Acknowledge customer  -&gt;  Investigate  -&gt;  Decide resolution  -&gt;  Execute action  -&gt;  Confirm customer notice  -&gt;  Close and QA</w:t>
      </w:r>
    </w:p>
    <w:p>
      <w:pPr>
        <w:pStyle w:val="ListNumber"/>
      </w:pPr>
      <w:r>
        <w:t>Identify the specific escalation trigger and confirm that standard frontline resolution is insufficient.</w:t>
      </w:r>
    </w:p>
    <w:p>
      <w:pPr>
        <w:pStyle w:val="ListNumber"/>
      </w:pPr>
      <w:r>
        <w:t>Verify the customer identity, order number, product, serial number when relevant, shipment status, payment status, and previous contacts.</w:t>
      </w:r>
    </w:p>
    <w:p>
      <w:pPr>
        <w:pStyle w:val="ListNumber"/>
      </w:pPr>
      <w:r>
        <w:t>Assign the correct severity level and select the escalation category in the CRM.</w:t>
      </w:r>
    </w:p>
    <w:p>
      <w:pPr>
        <w:pStyle w:val="ListNumber"/>
      </w:pPr>
      <w:r>
        <w:t>Write a concise escalation summary using the required format: issue, impact, facts verified, action already taken, customer expectation, risk, requested next step.</w:t>
      </w:r>
    </w:p>
    <w:p>
      <w:pPr>
        <w:pStyle w:val="ListNumber"/>
      </w:pPr>
      <w:r>
        <w:t>Attach evidence such as screenshots, photos, carrier tracking, device logs, inspection notes, payment records, or prior communications.</w:t>
      </w:r>
    </w:p>
    <w:p>
      <w:pPr>
        <w:pStyle w:val="ListNumber"/>
      </w:pPr>
      <w:r>
        <w:t>Route the ticket to the correct queue and assign an owner when required by queue rules.</w:t>
      </w:r>
    </w:p>
    <w:p>
      <w:pPr>
        <w:pStyle w:val="ListNumber"/>
      </w:pPr>
      <w:r>
        <w:t>Send the customer an acknowledgement that explains the next step and avoids promising an unapproved outcome.</w:t>
      </w:r>
    </w:p>
    <w:p>
      <w:pPr>
        <w:pStyle w:val="ListNumber"/>
      </w:pPr>
      <w:r>
        <w:t>The escalation owner investigates, requests additional evidence if needed, coordinates internal teams, and documents each material update.</w:t>
      </w:r>
    </w:p>
    <w:p>
      <w:pPr>
        <w:pStyle w:val="ListNumber"/>
      </w:pPr>
      <w:r>
        <w:t>The owner determines the resolution or obtains approval when the resolution is outside standard authority.</w:t>
      </w:r>
    </w:p>
    <w:p>
      <w:pPr>
        <w:pStyle w:val="ListNumber"/>
      </w:pPr>
      <w:r>
        <w:t>The owner ensures execution, customer notification, and closure documentation are complete before closing the case.</w:t>
      </w:r>
    </w:p>
    <w:p>
      <w:pPr>
        <w:pStyle w:val="Heading1"/>
      </w:pPr>
      <w:r>
        <w:t>6. Intake and Triage Requirements</w:t>
      </w:r>
    </w:p>
    <w:p>
      <w:pPr>
        <w:jc w:val="both"/>
      </w:pPr>
      <w:r>
        <w:t>Escalation quality depends on intake quality. Incomplete intake creates rework, delays, repeat customer contacts, and inconsistent decisions. Every escalated case must include enough information for the receiving owner to start work without asking the frontline agent for basic facts. The intake standard applies even when the customer sends a long complaint. The agent must convert the complaint into structured operational information.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
              <w:rPr>
                <w:rFonts w:ascii="Calibri" w:hAnsi="Calibri"/>
                <w:b/>
                <w:sz w:val="17"/>
              </w:rPr>
              <w:t>Required Intake Field</w:t>
            </w:r>
          </w:p>
        </w:tc>
        <w:tc>
          <w:tcPr>
            <w:tcW w:type="dxa" w:w="3408"/>
            <w:shd w:fill="D9EAF7"/>
            <w:vAlign w:val="center"/>
          </w:tcPr>
          <w:p>
            <w:r/>
            <w:r>
              <w:rPr>
                <w:rFonts w:ascii="Calibri" w:hAnsi="Calibri"/>
                <w:b/>
                <w:sz w:val="17"/>
              </w:rPr>
              <w:t>What to Capture</w:t>
            </w:r>
          </w:p>
        </w:tc>
        <w:tc>
          <w:tcPr>
            <w:tcW w:type="dxa" w:w="3408"/>
            <w:shd w:fill="D9EAF7"/>
            <w:vAlign w:val="center"/>
          </w:tcPr>
          <w:p>
            <w:r/>
            <w:r>
              <w:rPr>
                <w:rFonts w:ascii="Calibri" w:hAnsi="Calibri"/>
                <w:b/>
                <w:sz w:val="17"/>
              </w:rPr>
              <w:t>Why It Matters</w:t>
            </w:r>
          </w:p>
        </w:tc>
      </w:tr>
      <w:tr>
        <w:tc>
          <w:tcPr>
            <w:tcW w:type="dxa" w:w="3408"/>
            <w:vAlign w:val="top"/>
          </w:tcPr>
          <w:p>
            <w:r/>
            <w:r>
              <w:rPr>
                <w:rFonts w:ascii="Calibri" w:hAnsi="Calibri"/>
                <w:b w:val="0"/>
                <w:sz w:val="16"/>
              </w:rPr>
              <w:t>Customer identity</w:t>
            </w:r>
          </w:p>
        </w:tc>
        <w:tc>
          <w:tcPr>
            <w:tcW w:type="dxa" w:w="3408"/>
            <w:vAlign w:val="top"/>
          </w:tcPr>
          <w:p>
            <w:r/>
            <w:r>
              <w:rPr>
                <w:rFonts w:ascii="Calibri" w:hAnsi="Calibri"/>
                <w:b w:val="0"/>
                <w:sz w:val="16"/>
              </w:rPr>
              <w:t>Verified account email, customer name, contact channel, and authentication result.</w:t>
            </w:r>
          </w:p>
        </w:tc>
        <w:tc>
          <w:tcPr>
            <w:tcW w:type="dxa" w:w="3408"/>
            <w:vAlign w:val="top"/>
          </w:tcPr>
          <w:p>
            <w:r/>
            <w:r>
              <w:rPr>
                <w:rFonts w:ascii="Calibri" w:hAnsi="Calibri"/>
                <w:b w:val="0"/>
                <w:sz w:val="16"/>
              </w:rPr>
              <w:t>Prevents disclosure to unauthorized parties and supports privacy compliance.</w:t>
            </w:r>
          </w:p>
        </w:tc>
      </w:tr>
      <w:tr>
        <w:tc>
          <w:tcPr>
            <w:tcW w:type="dxa" w:w="3408"/>
            <w:vAlign w:val="top"/>
          </w:tcPr>
          <w:p>
            <w:r/>
            <w:r>
              <w:rPr>
                <w:rFonts w:ascii="Calibri" w:hAnsi="Calibri"/>
                <w:b w:val="0"/>
                <w:sz w:val="16"/>
              </w:rPr>
              <w:t>Order details</w:t>
            </w:r>
          </w:p>
        </w:tc>
        <w:tc>
          <w:tcPr>
            <w:tcW w:type="dxa" w:w="3408"/>
            <w:vAlign w:val="top"/>
          </w:tcPr>
          <w:p>
            <w:r/>
            <w:r>
              <w:rPr>
                <w:rFonts w:ascii="Calibri" w:hAnsi="Calibri"/>
                <w:b w:val="0"/>
                <w:sz w:val="16"/>
              </w:rPr>
              <w:t>Order number, order date, SKU, product category, quantity, value, payment method, discounts, and taxes.</w:t>
            </w:r>
          </w:p>
        </w:tc>
        <w:tc>
          <w:tcPr>
            <w:tcW w:type="dxa" w:w="3408"/>
            <w:vAlign w:val="top"/>
          </w:tcPr>
          <w:p>
            <w:r/>
            <w:r>
              <w:rPr>
                <w:rFonts w:ascii="Calibri" w:hAnsi="Calibri"/>
                <w:b w:val="0"/>
                <w:sz w:val="16"/>
              </w:rPr>
              <w:t>Determines eligibility, authority threshold, and financial exposure.</w:t>
            </w:r>
          </w:p>
        </w:tc>
      </w:tr>
      <w:tr>
        <w:tc>
          <w:tcPr>
            <w:tcW w:type="dxa" w:w="3408"/>
            <w:vAlign w:val="top"/>
          </w:tcPr>
          <w:p>
            <w:r/>
            <w:r>
              <w:rPr>
                <w:rFonts w:ascii="Calibri" w:hAnsi="Calibri"/>
                <w:b w:val="0"/>
                <w:sz w:val="16"/>
              </w:rPr>
              <w:t>Device details</w:t>
            </w:r>
          </w:p>
        </w:tc>
        <w:tc>
          <w:tcPr>
            <w:tcW w:type="dxa" w:w="3408"/>
            <w:vAlign w:val="top"/>
          </w:tcPr>
          <w:p>
            <w:r/>
            <w:r>
              <w:rPr>
                <w:rFonts w:ascii="Calibri" w:hAnsi="Calibri"/>
                <w:b w:val="0"/>
                <w:sz w:val="16"/>
              </w:rPr>
              <w:t>Serial number, firmware version, app version, connectivity environment, installation status, and diagnostic ID when available.</w:t>
            </w:r>
          </w:p>
        </w:tc>
        <w:tc>
          <w:tcPr>
            <w:tcW w:type="dxa" w:w="3408"/>
            <w:vAlign w:val="top"/>
          </w:tcPr>
          <w:p>
            <w:r/>
            <w:r>
              <w:rPr>
                <w:rFonts w:ascii="Calibri" w:hAnsi="Calibri"/>
                <w:b w:val="0"/>
                <w:sz w:val="16"/>
              </w:rPr>
              <w:t>Supports technical triage for connected devices.</w:t>
            </w:r>
          </w:p>
        </w:tc>
      </w:tr>
      <w:tr>
        <w:tc>
          <w:tcPr>
            <w:tcW w:type="dxa" w:w="3408"/>
            <w:vAlign w:val="top"/>
          </w:tcPr>
          <w:p>
            <w:r/>
            <w:r>
              <w:rPr>
                <w:rFonts w:ascii="Calibri" w:hAnsi="Calibri"/>
                <w:b w:val="0"/>
                <w:sz w:val="16"/>
              </w:rPr>
              <w:t>Issue statement</w:t>
            </w:r>
          </w:p>
        </w:tc>
        <w:tc>
          <w:tcPr>
            <w:tcW w:type="dxa" w:w="3408"/>
            <w:vAlign w:val="top"/>
          </w:tcPr>
          <w:p>
            <w:r/>
            <w:r>
              <w:rPr>
                <w:rFonts w:ascii="Calibri" w:hAnsi="Calibri"/>
                <w:b w:val="0"/>
                <w:sz w:val="16"/>
              </w:rPr>
              <w:t>One-sentence description of the customer concern and the impact experienced.</w:t>
            </w:r>
          </w:p>
        </w:tc>
        <w:tc>
          <w:tcPr>
            <w:tcW w:type="dxa" w:w="3408"/>
            <w:vAlign w:val="top"/>
          </w:tcPr>
          <w:p>
            <w:r/>
            <w:r>
              <w:rPr>
                <w:rFonts w:ascii="Calibri" w:hAnsi="Calibri"/>
                <w:b w:val="0"/>
                <w:sz w:val="16"/>
              </w:rPr>
              <w:t>Creates a clear starting point for investigation.</w:t>
            </w:r>
          </w:p>
        </w:tc>
      </w:tr>
      <w:tr>
        <w:tc>
          <w:tcPr>
            <w:tcW w:type="dxa" w:w="3408"/>
            <w:vAlign w:val="top"/>
          </w:tcPr>
          <w:p>
            <w:r/>
            <w:r>
              <w:rPr>
                <w:rFonts w:ascii="Calibri" w:hAnsi="Calibri"/>
                <w:b w:val="0"/>
                <w:sz w:val="16"/>
              </w:rPr>
              <w:t>Actions already taken</w:t>
            </w:r>
          </w:p>
        </w:tc>
        <w:tc>
          <w:tcPr>
            <w:tcW w:type="dxa" w:w="3408"/>
            <w:vAlign w:val="top"/>
          </w:tcPr>
          <w:p>
            <w:r/>
            <w:r>
              <w:rPr>
                <w:rFonts w:ascii="Calibri" w:hAnsi="Calibri"/>
                <w:b w:val="0"/>
                <w:sz w:val="16"/>
              </w:rPr>
              <w:t>Troubleshooting steps, policy explanations, prior returns, replacements, refunds, or warehouse reviews.</w:t>
            </w:r>
          </w:p>
        </w:tc>
        <w:tc>
          <w:tcPr>
            <w:tcW w:type="dxa" w:w="3408"/>
            <w:vAlign w:val="top"/>
          </w:tcPr>
          <w:p>
            <w:r/>
            <w:r>
              <w:rPr>
                <w:rFonts w:ascii="Calibri" w:hAnsi="Calibri"/>
                <w:b w:val="0"/>
                <w:sz w:val="16"/>
              </w:rPr>
              <w:t>Avoids repeating work and frustrating the customer.</w:t>
            </w:r>
          </w:p>
        </w:tc>
      </w:tr>
      <w:tr>
        <w:tc>
          <w:tcPr>
            <w:tcW w:type="dxa" w:w="3408"/>
            <w:vAlign w:val="top"/>
          </w:tcPr>
          <w:p>
            <w:r/>
            <w:r>
              <w:rPr>
                <w:rFonts w:ascii="Calibri" w:hAnsi="Calibri"/>
                <w:b w:val="0"/>
                <w:sz w:val="16"/>
              </w:rPr>
              <w:t>Evidence</w:t>
            </w:r>
          </w:p>
        </w:tc>
        <w:tc>
          <w:tcPr>
            <w:tcW w:type="dxa" w:w="3408"/>
            <w:vAlign w:val="top"/>
          </w:tcPr>
          <w:p>
            <w:r/>
            <w:r>
              <w:rPr>
                <w:rFonts w:ascii="Calibri" w:hAnsi="Calibri"/>
                <w:b w:val="0"/>
                <w:sz w:val="16"/>
              </w:rPr>
              <w:t>Photos, videos, logs, tracking screenshots, invoices, receipts, inspection notes, or chat transcripts.</w:t>
            </w:r>
          </w:p>
        </w:tc>
        <w:tc>
          <w:tcPr>
            <w:tcW w:type="dxa" w:w="3408"/>
            <w:vAlign w:val="top"/>
          </w:tcPr>
          <w:p>
            <w:r/>
            <w:r>
              <w:rPr>
                <w:rFonts w:ascii="Calibri" w:hAnsi="Calibri"/>
                <w:b w:val="0"/>
                <w:sz w:val="16"/>
              </w:rPr>
              <w:t>Supports decision quality and audit readiness.</w:t>
            </w:r>
          </w:p>
        </w:tc>
      </w:tr>
      <w:tr>
        <w:tc>
          <w:tcPr>
            <w:tcW w:type="dxa" w:w="3408"/>
            <w:vAlign w:val="top"/>
          </w:tcPr>
          <w:p>
            <w:r/>
            <w:r>
              <w:rPr>
                <w:rFonts w:ascii="Calibri" w:hAnsi="Calibri"/>
                <w:b w:val="0"/>
                <w:sz w:val="16"/>
              </w:rPr>
              <w:t>Requested outcome</w:t>
            </w:r>
          </w:p>
        </w:tc>
        <w:tc>
          <w:tcPr>
            <w:tcW w:type="dxa" w:w="3408"/>
            <w:vAlign w:val="top"/>
          </w:tcPr>
          <w:p>
            <w:r/>
            <w:r>
              <w:rPr>
                <w:rFonts w:ascii="Calibri" w:hAnsi="Calibri"/>
                <w:b w:val="0"/>
                <w:sz w:val="16"/>
              </w:rPr>
              <w:t>Refund, replacement, repair, escalation call, complaint review, subscription cancellation, account action, or policy exception.</w:t>
            </w:r>
          </w:p>
        </w:tc>
        <w:tc>
          <w:tcPr>
            <w:tcW w:type="dxa" w:w="3408"/>
            <w:vAlign w:val="top"/>
          </w:tcPr>
          <w:p>
            <w:r/>
            <w:r>
              <w:rPr>
                <w:rFonts w:ascii="Calibri" w:hAnsi="Calibri"/>
                <w:b w:val="0"/>
                <w:sz w:val="16"/>
              </w:rPr>
              <w:t>Clarifies the customer expectation.</w:t>
            </w:r>
          </w:p>
        </w:tc>
      </w:tr>
      <w:tr>
        <w:tc>
          <w:tcPr>
            <w:tcW w:type="dxa" w:w="3408"/>
            <w:vAlign w:val="top"/>
          </w:tcPr>
          <w:p>
            <w:r/>
            <w:r>
              <w:rPr>
                <w:rFonts w:ascii="Calibri" w:hAnsi="Calibri"/>
                <w:b w:val="0"/>
                <w:sz w:val="16"/>
              </w:rPr>
              <w:t>Risk indicators</w:t>
            </w:r>
          </w:p>
        </w:tc>
        <w:tc>
          <w:tcPr>
            <w:tcW w:type="dxa" w:w="3408"/>
            <w:vAlign w:val="top"/>
          </w:tcPr>
          <w:p>
            <w:r/>
            <w:r>
              <w:rPr>
                <w:rFonts w:ascii="Calibri" w:hAnsi="Calibri"/>
                <w:b w:val="0"/>
                <w:sz w:val="16"/>
              </w:rPr>
              <w:t>Safety concern, privacy concern, social/media threat, legal threat, chargeback threat, fraud risk, repeated contacts, high order value.</w:t>
            </w:r>
          </w:p>
        </w:tc>
        <w:tc>
          <w:tcPr>
            <w:tcW w:type="dxa" w:w="3408"/>
            <w:vAlign w:val="top"/>
          </w:tcPr>
          <w:p>
            <w:r/>
            <w:r>
              <w:rPr>
                <w:rFonts w:ascii="Calibri" w:hAnsi="Calibri"/>
                <w:b w:val="0"/>
                <w:sz w:val="16"/>
              </w:rPr>
              <w:t>Determines severity and routing.</w:t>
            </w:r>
          </w:p>
        </w:tc>
      </w:tr>
    </w:tbl>
    <w:p/>
    <w:p>
      <w:pPr>
        <w:pStyle w:val="Heading1"/>
      </w:pPr>
      <w:r>
        <w:t>7. Channel-Specific Escalation Rules</w:t>
      </w:r>
    </w:p>
    <w:p>
      <w:pPr>
        <w:pStyle w:val="Heading2"/>
      </w:pPr>
      <w:r>
        <w:t>7.1 Phone Escalations</w:t>
      </w:r>
    </w:p>
    <w:p>
      <w:pPr>
        <w:jc w:val="both"/>
      </w:pPr>
      <w:r>
        <w:t>Phone escalations require calm control of the conversation. Agents should avoid placing a customer on repeated long holds while searching for a supervisor. If a supervisor is not available, the agent must create the escalation, explain the expected callback or update window, and document the customer preference for contact method.</w:t>
      </w:r>
    </w:p>
    <w:p>
      <w:pPr>
        <w:pStyle w:val="ListBullet"/>
      </w:pPr>
      <w:r>
        <w:t>Use warm transfer only when the receiving person is available and briefed.</w:t>
      </w:r>
    </w:p>
    <w:p>
      <w:pPr>
        <w:pStyle w:val="ListBullet"/>
      </w:pPr>
      <w:r>
        <w:t>If no warm transfer is available, schedule a callback or written update based on SLA.</w:t>
      </w:r>
    </w:p>
    <w:p>
      <w:pPr>
        <w:pStyle w:val="ListBullet"/>
      </w:pPr>
      <w:r>
        <w:t>Do not promise a manager callback outside approved hours or staffing coverage.</w:t>
      </w:r>
    </w:p>
    <w:p>
      <w:pPr>
        <w:pStyle w:val="Heading2"/>
      </w:pPr>
      <w:r>
        <w:t>7.2 Chat and Messaging Escalations</w:t>
      </w:r>
    </w:p>
    <w:p>
      <w:pPr>
        <w:jc w:val="both"/>
      </w:pPr>
      <w:r>
        <w:t>Chat escalations must remain concise because customers can see delay in real time. Agents should acknowledge the issue, gather required facts, and avoid sending long internal policy explanations. When the case cannot be resolved in the live session, the agent must convert it to an escalated ticket and give the customer the case reference.</w:t>
      </w:r>
    </w:p>
    <w:p>
      <w:pPr>
        <w:pStyle w:val="ListBullet"/>
      </w:pPr>
      <w:r>
        <w:t>Summarize the next step in plain language before ending the chat.</w:t>
      </w:r>
    </w:p>
    <w:p>
      <w:pPr>
        <w:pStyle w:val="ListBullet"/>
      </w:pPr>
      <w:r>
        <w:t>Copy relevant transcript details into the escalation summary.</w:t>
      </w:r>
    </w:p>
    <w:p>
      <w:pPr>
        <w:pStyle w:val="ListBullet"/>
      </w:pPr>
      <w:r>
        <w:t>Do not ask the customer to repeat information already visible in the chat history unless verification is required.</w:t>
      </w:r>
    </w:p>
    <w:p>
      <w:pPr>
        <w:pStyle w:val="Heading2"/>
      </w:pPr>
      <w:r>
        <w:t>7.3 Email Escalations</w:t>
      </w:r>
    </w:p>
    <w:p>
      <w:pPr>
        <w:jc w:val="both"/>
      </w:pPr>
      <w:r>
        <w:t>Email escalations often contain attachments and detailed narratives. Agents should identify the actionable issue, request missing evidence in one consolidated message, and route the case only after required verification is complete or when the risk requires immediate specialist review.</w:t>
      </w:r>
    </w:p>
    <w:p>
      <w:pPr>
        <w:pStyle w:val="ListBullet"/>
      </w:pPr>
      <w:r>
        <w:t>Use approved templates for evidence requests.</w:t>
      </w:r>
    </w:p>
    <w:p>
      <w:pPr>
        <w:pStyle w:val="ListBullet"/>
      </w:pPr>
      <w:r>
        <w:t>Keep internal notes separate from customer-facing replies.</w:t>
      </w:r>
    </w:p>
    <w:p>
      <w:pPr>
        <w:pStyle w:val="ListBullet"/>
      </w:pPr>
      <w:r>
        <w:t>Flag long inactive email escalations before SLA breach.</w:t>
      </w:r>
    </w:p>
    <w:p>
      <w:pPr>
        <w:pStyle w:val="Heading2"/>
      </w:pPr>
      <w:r>
        <w:t>7.4 Social and Public Channel Escalations</w:t>
      </w:r>
    </w:p>
    <w:p>
      <w:pPr>
        <w:jc w:val="both"/>
      </w:pPr>
      <w:r>
        <w:t>Public complaints may create reputational risk, especially when they involve security cameras, smart locks, delivery failures, or alleged privacy issues. Social support should acknowledge publicly without discussing personal data and move the case to a private verified channel.</w:t>
      </w:r>
    </w:p>
    <w:p>
      <w:pPr>
        <w:pStyle w:val="ListBullet"/>
      </w:pPr>
      <w:r>
        <w:t>Never disclose order, account, payment, address, or device details in public replies.</w:t>
      </w:r>
    </w:p>
    <w:p>
      <w:pPr>
        <w:pStyle w:val="ListBullet"/>
      </w:pPr>
      <w:r>
        <w:t>Escalate L3 when the post alleges safety, privacy, discrimination, legal violation, or product defect pattern.</w:t>
      </w:r>
    </w:p>
    <w:p>
      <w:pPr>
        <w:pStyle w:val="ListBullet"/>
      </w:pPr>
      <w:r>
        <w:t>Notify the escalation manager when the complaint is gaining visibility or involves media.</w:t>
      </w:r>
    </w:p>
    <w:p>
      <w:pPr>
        <w:pStyle w:val="Heading1"/>
      </w:pPr>
      <w:r>
        <w:t>8. Category-Specific Escalation Rules</w:t>
      </w:r>
    </w:p>
    <w:p>
      <w:pPr>
        <w:jc w:val="both"/>
      </w:pPr>
      <w:r>
        <w:t>Smart home categories carry different operational risks. A delayed smart plug delivery is usually less sensitive than a failed smart lock, compromised camera account, or malfunctioning security system. Agents must consider the product context when assigning severity.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
              <w:rPr>
                <w:rFonts w:ascii="Calibri" w:hAnsi="Calibri"/>
                <w:b/>
                <w:sz w:val="17"/>
              </w:rPr>
              <w:t>Product Category</w:t>
            </w:r>
          </w:p>
        </w:tc>
        <w:tc>
          <w:tcPr>
            <w:tcW w:type="dxa" w:w="3408"/>
            <w:shd w:fill="D9EAF7"/>
            <w:vAlign w:val="center"/>
          </w:tcPr>
          <w:p>
            <w:r/>
            <w:r>
              <w:rPr>
                <w:rFonts w:ascii="Calibri" w:hAnsi="Calibri"/>
                <w:b/>
                <w:sz w:val="17"/>
              </w:rPr>
              <w:t>Common Escalation Triggers</w:t>
            </w:r>
          </w:p>
        </w:tc>
        <w:tc>
          <w:tcPr>
            <w:tcW w:type="dxa" w:w="3408"/>
            <w:shd w:fill="D9EAF7"/>
            <w:vAlign w:val="center"/>
          </w:tcPr>
          <w:p>
            <w:r/>
            <w:r>
              <w:rPr>
                <w:rFonts w:ascii="Calibri" w:hAnsi="Calibri"/>
                <w:b/>
                <w:sz w:val="17"/>
              </w:rPr>
              <w:t>Default Severity Guidance</w:t>
            </w:r>
          </w:p>
        </w:tc>
      </w:tr>
      <w:tr>
        <w:tc>
          <w:tcPr>
            <w:tcW w:type="dxa" w:w="3408"/>
            <w:vAlign w:val="top"/>
          </w:tcPr>
          <w:p>
            <w:r/>
            <w:r>
              <w:rPr>
                <w:rFonts w:ascii="Calibri" w:hAnsi="Calibri"/>
                <w:b w:val="0"/>
                <w:sz w:val="16"/>
              </w:rPr>
              <w:t>Smart Speaker / Smart Display</w:t>
            </w:r>
          </w:p>
        </w:tc>
        <w:tc>
          <w:tcPr>
            <w:tcW w:type="dxa" w:w="3408"/>
            <w:vAlign w:val="top"/>
          </w:tcPr>
          <w:p>
            <w:r/>
            <w:r>
              <w:rPr>
                <w:rFonts w:ascii="Calibri" w:hAnsi="Calibri"/>
                <w:b w:val="0"/>
                <w:sz w:val="16"/>
              </w:rPr>
              <w:t>Voice assistant setup failure, account linking issue, subscription activation issue, repeated firmware failure.</w:t>
            </w:r>
          </w:p>
        </w:tc>
        <w:tc>
          <w:tcPr>
            <w:tcW w:type="dxa" w:w="3408"/>
            <w:vAlign w:val="top"/>
          </w:tcPr>
          <w:p>
            <w:r/>
            <w:r>
              <w:rPr>
                <w:rFonts w:ascii="Calibri" w:hAnsi="Calibri"/>
                <w:b w:val="0"/>
                <w:sz w:val="16"/>
              </w:rPr>
              <w:t>L1-L2 unless privacy, recording, or account access risk is alleged.</w:t>
            </w:r>
          </w:p>
        </w:tc>
      </w:tr>
      <w:tr>
        <w:tc>
          <w:tcPr>
            <w:tcW w:type="dxa" w:w="3408"/>
            <w:vAlign w:val="top"/>
          </w:tcPr>
          <w:p>
            <w:r/>
            <w:r>
              <w:rPr>
                <w:rFonts w:ascii="Calibri" w:hAnsi="Calibri"/>
                <w:b w:val="0"/>
                <w:sz w:val="16"/>
              </w:rPr>
              <w:t>Smart Thermostat</w:t>
            </w:r>
          </w:p>
        </w:tc>
        <w:tc>
          <w:tcPr>
            <w:tcW w:type="dxa" w:w="3408"/>
            <w:vAlign w:val="top"/>
          </w:tcPr>
          <w:p>
            <w:r/>
            <w:r>
              <w:rPr>
                <w:rFonts w:ascii="Calibri" w:hAnsi="Calibri"/>
                <w:b w:val="0"/>
                <w:sz w:val="16"/>
              </w:rPr>
              <w:t>Installation compatibility dispute, heating/cooling impact, repeated sensor failure, incorrect temperature control.</w:t>
            </w:r>
          </w:p>
        </w:tc>
        <w:tc>
          <w:tcPr>
            <w:tcW w:type="dxa" w:w="3408"/>
            <w:vAlign w:val="top"/>
          </w:tcPr>
          <w:p>
            <w:r/>
            <w:r>
              <w:rPr>
                <w:rFonts w:ascii="Calibri" w:hAnsi="Calibri"/>
                <w:b w:val="0"/>
                <w:sz w:val="16"/>
              </w:rPr>
              <w:t>L2; L3 if customer reports property damage or safety risk.</w:t>
            </w:r>
          </w:p>
        </w:tc>
      </w:tr>
      <w:tr>
        <w:tc>
          <w:tcPr>
            <w:tcW w:type="dxa" w:w="3408"/>
            <w:vAlign w:val="top"/>
          </w:tcPr>
          <w:p>
            <w:r/>
            <w:r>
              <w:rPr>
                <w:rFonts w:ascii="Calibri" w:hAnsi="Calibri"/>
                <w:b w:val="0"/>
                <w:sz w:val="16"/>
              </w:rPr>
              <w:t>Smart Doorbell / Smart Camera</w:t>
            </w:r>
          </w:p>
        </w:tc>
        <w:tc>
          <w:tcPr>
            <w:tcW w:type="dxa" w:w="3408"/>
            <w:vAlign w:val="top"/>
          </w:tcPr>
          <w:p>
            <w:r/>
            <w:r>
              <w:rPr>
                <w:rFonts w:ascii="Calibri" w:hAnsi="Calibri"/>
                <w:b w:val="0"/>
                <w:sz w:val="16"/>
              </w:rPr>
              <w:t>Recording failure, motion detection failure, account access concern, missing footage, privacy complaint.</w:t>
            </w:r>
          </w:p>
        </w:tc>
        <w:tc>
          <w:tcPr>
            <w:tcW w:type="dxa" w:w="3408"/>
            <w:vAlign w:val="top"/>
          </w:tcPr>
          <w:p>
            <w:r/>
            <w:r>
              <w:rPr>
                <w:rFonts w:ascii="Calibri" w:hAnsi="Calibri"/>
                <w:b w:val="0"/>
                <w:sz w:val="16"/>
              </w:rPr>
              <w:t>L2-L3 depending on privacy/security impact.</w:t>
            </w:r>
          </w:p>
        </w:tc>
      </w:tr>
      <w:tr>
        <w:tc>
          <w:tcPr>
            <w:tcW w:type="dxa" w:w="3408"/>
            <w:vAlign w:val="top"/>
          </w:tcPr>
          <w:p>
            <w:r/>
            <w:r>
              <w:rPr>
                <w:rFonts w:ascii="Calibri" w:hAnsi="Calibri"/>
                <w:b w:val="0"/>
                <w:sz w:val="16"/>
              </w:rPr>
              <w:t>Smart Lock / Security System</w:t>
            </w:r>
          </w:p>
        </w:tc>
        <w:tc>
          <w:tcPr>
            <w:tcW w:type="dxa" w:w="3408"/>
            <w:vAlign w:val="top"/>
          </w:tcPr>
          <w:p>
            <w:r/>
            <w:r>
              <w:rPr>
                <w:rFonts w:ascii="Calibri" w:hAnsi="Calibri"/>
                <w:b w:val="0"/>
                <w:sz w:val="16"/>
              </w:rPr>
              <w:t>Lockout, failed remote unlock, alarm failure, access code issue, security breach allegation.</w:t>
            </w:r>
          </w:p>
        </w:tc>
        <w:tc>
          <w:tcPr>
            <w:tcW w:type="dxa" w:w="3408"/>
            <w:vAlign w:val="top"/>
          </w:tcPr>
          <w:p>
            <w:r/>
            <w:r>
              <w:rPr>
                <w:rFonts w:ascii="Calibri" w:hAnsi="Calibri"/>
                <w:b w:val="0"/>
                <w:sz w:val="16"/>
              </w:rPr>
              <w:t>L3 by default when home access or security is affected.</w:t>
            </w:r>
          </w:p>
        </w:tc>
      </w:tr>
      <w:tr>
        <w:tc>
          <w:tcPr>
            <w:tcW w:type="dxa" w:w="3408"/>
            <w:vAlign w:val="top"/>
          </w:tcPr>
          <w:p>
            <w:r/>
            <w:r>
              <w:rPr>
                <w:rFonts w:ascii="Calibri" w:hAnsi="Calibri"/>
                <w:b w:val="0"/>
                <w:sz w:val="16"/>
              </w:rPr>
              <w:t>Robot Vacuum</w:t>
            </w:r>
          </w:p>
        </w:tc>
        <w:tc>
          <w:tcPr>
            <w:tcW w:type="dxa" w:w="3408"/>
            <w:vAlign w:val="top"/>
          </w:tcPr>
          <w:p>
            <w:r/>
            <w:r>
              <w:rPr>
                <w:rFonts w:ascii="Calibri" w:hAnsi="Calibri"/>
                <w:b w:val="0"/>
                <w:sz w:val="16"/>
              </w:rPr>
              <w:t>Battery issue, navigation failure, property damage claim, repeated repair or replacement.</w:t>
            </w:r>
          </w:p>
        </w:tc>
        <w:tc>
          <w:tcPr>
            <w:tcW w:type="dxa" w:w="3408"/>
            <w:vAlign w:val="top"/>
          </w:tcPr>
          <w:p>
            <w:r/>
            <w:r>
              <w:rPr>
                <w:rFonts w:ascii="Calibri" w:hAnsi="Calibri"/>
                <w:b w:val="0"/>
                <w:sz w:val="16"/>
              </w:rPr>
              <w:t>L1-L2; L3 for injury, fire, or major damage claim.</w:t>
            </w:r>
          </w:p>
        </w:tc>
      </w:tr>
      <w:tr>
        <w:tc>
          <w:tcPr>
            <w:tcW w:type="dxa" w:w="3408"/>
            <w:vAlign w:val="top"/>
          </w:tcPr>
          <w:p>
            <w:r/>
            <w:r>
              <w:rPr>
                <w:rFonts w:ascii="Calibri" w:hAnsi="Calibri"/>
                <w:b w:val="0"/>
                <w:sz w:val="16"/>
              </w:rPr>
              <w:t>Air Purifier</w:t>
            </w:r>
          </w:p>
        </w:tc>
        <w:tc>
          <w:tcPr>
            <w:tcW w:type="dxa" w:w="3408"/>
            <w:vAlign w:val="top"/>
          </w:tcPr>
          <w:p>
            <w:r/>
            <w:r>
              <w:rPr>
                <w:rFonts w:ascii="Calibri" w:hAnsi="Calibri"/>
                <w:b w:val="0"/>
                <w:sz w:val="16"/>
              </w:rPr>
              <w:t>Filter subscription issue, air quality sensor dispute, noise or odor complaint, health-related claim.</w:t>
            </w:r>
          </w:p>
        </w:tc>
        <w:tc>
          <w:tcPr>
            <w:tcW w:type="dxa" w:w="3408"/>
            <w:vAlign w:val="top"/>
          </w:tcPr>
          <w:p>
            <w:r/>
            <w:r>
              <w:rPr>
                <w:rFonts w:ascii="Calibri" w:hAnsi="Calibri"/>
                <w:b w:val="0"/>
                <w:sz w:val="16"/>
              </w:rPr>
              <w:t>L1-L2; escalate health or safety allegations to L3.</w:t>
            </w:r>
          </w:p>
        </w:tc>
      </w:tr>
      <w:tr>
        <w:tc>
          <w:tcPr>
            <w:tcW w:type="dxa" w:w="3408"/>
            <w:vAlign w:val="top"/>
          </w:tcPr>
          <w:p>
            <w:r/>
            <w:r>
              <w:rPr>
                <w:rFonts w:ascii="Calibri" w:hAnsi="Calibri"/>
                <w:b w:val="0"/>
                <w:sz w:val="16"/>
              </w:rPr>
              <w:t>Smart TV / Streaming Device</w:t>
            </w:r>
          </w:p>
        </w:tc>
        <w:tc>
          <w:tcPr>
            <w:tcW w:type="dxa" w:w="3408"/>
            <w:vAlign w:val="top"/>
          </w:tcPr>
          <w:p>
            <w:r/>
            <w:r>
              <w:rPr>
                <w:rFonts w:ascii="Calibri" w:hAnsi="Calibri"/>
                <w:b w:val="0"/>
                <w:sz w:val="16"/>
              </w:rPr>
              <w:t>Account activation issue, content access, subscription billing, remote malfunction.</w:t>
            </w:r>
          </w:p>
        </w:tc>
        <w:tc>
          <w:tcPr>
            <w:tcW w:type="dxa" w:w="3408"/>
            <w:vAlign w:val="top"/>
          </w:tcPr>
          <w:p>
            <w:r/>
            <w:r>
              <w:rPr>
                <w:rFonts w:ascii="Calibri" w:hAnsi="Calibri"/>
                <w:b w:val="0"/>
                <w:sz w:val="16"/>
              </w:rPr>
              <w:t>L1-L2 unless payment or account compromise exists.</w:t>
            </w:r>
          </w:p>
        </w:tc>
      </w:tr>
      <w:tr>
        <w:tc>
          <w:tcPr>
            <w:tcW w:type="dxa" w:w="3408"/>
            <w:vAlign w:val="top"/>
          </w:tcPr>
          <w:p>
            <w:r/>
            <w:r>
              <w:rPr>
                <w:rFonts w:ascii="Calibri" w:hAnsi="Calibri"/>
                <w:b w:val="0"/>
                <w:sz w:val="16"/>
              </w:rPr>
              <w:t>Home Hub / Smart Sensor</w:t>
            </w:r>
          </w:p>
        </w:tc>
        <w:tc>
          <w:tcPr>
            <w:tcW w:type="dxa" w:w="3408"/>
            <w:vAlign w:val="top"/>
          </w:tcPr>
          <w:p>
            <w:r/>
            <w:r>
              <w:rPr>
                <w:rFonts w:ascii="Calibri" w:hAnsi="Calibri"/>
                <w:b w:val="0"/>
                <w:sz w:val="16"/>
              </w:rPr>
              <w:t>Multi-device connectivity outage, automations failing, safety sensor false alert or missed alert.</w:t>
            </w:r>
          </w:p>
        </w:tc>
        <w:tc>
          <w:tcPr>
            <w:tcW w:type="dxa" w:w="3408"/>
            <w:vAlign w:val="top"/>
          </w:tcPr>
          <w:p>
            <w:r/>
            <w:r>
              <w:rPr>
                <w:rFonts w:ascii="Calibri" w:hAnsi="Calibri"/>
                <w:b w:val="0"/>
                <w:sz w:val="16"/>
              </w:rPr>
              <w:t>L2-L3 based on impact.</w:t>
            </w:r>
          </w:p>
        </w:tc>
      </w:tr>
    </w:tbl>
    <w:p/>
    <w:p>
      <w:pPr>
        <w:pStyle w:val="Heading1"/>
      </w:pPr>
      <w:r>
        <w:t>9. Technical and IoT Escalations</w:t>
      </w:r>
    </w:p>
    <w:p>
      <w:pPr>
        <w:jc w:val="both"/>
      </w:pPr>
      <w:r>
        <w:t>Connected device escalations must balance customer urgency with technical evidence. Customers may describe a device as defective when the root cause is Wi-Fi coverage, router configuration, app version, account linking, firmware update failure, subscription status, incompatible wiring, or installation error. Agents should not label a product defective until required troubleshooting and diagnostic review are complete or until safety risk requires immediate action.</w:t>
      </w:r>
    </w:p>
    <w:p>
      <w:pPr>
        <w:jc w:val="both"/>
      </w:pPr>
      <w:r>
        <w:t>Technical escalation is required when the customer has completed standard troubleshooting but the issue persists, when the device controls home access or security, when multiple devices fail in the same home, when a firmware update appears to cause a failure, when diagnostic logs show repeated errors, or when the issue may indicate a product defect pattern. Technical escalation is also required when a customer provides credible evidence of privacy-sensitive behavior, such as unexpected recording, unauthorized account access, unknown paired devices, or missing deletion controls.</w:t>
      </w:r>
    </w:p>
    <w:p>
      <w:pPr>
        <w:jc w:val="both"/>
      </w:pPr>
      <w:r>
        <w:t>When collecting technical evidence, employees must respect privacy limits. Do not ask customers to share Wi-Fi passwords, full home security codes, private camera footage unrelated to the issue, or unnecessary personal information. If footage or logs are needed, request the minimum evidence required and store it only in approved systems.</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
              <w:rPr>
                <w:rFonts w:ascii="Calibri" w:hAnsi="Calibri"/>
                <w:b/>
                <w:sz w:val="17"/>
              </w:rPr>
              <w:t>Technical Evidence</w:t>
            </w:r>
          </w:p>
        </w:tc>
        <w:tc>
          <w:tcPr>
            <w:tcW w:type="dxa" w:w="5112"/>
            <w:shd w:fill="D9EAF7"/>
            <w:vAlign w:val="center"/>
          </w:tcPr>
          <w:p>
            <w:r/>
            <w:r>
              <w:rPr>
                <w:rFonts w:ascii="Calibri" w:hAnsi="Calibri"/>
                <w:b/>
                <w:sz w:val="17"/>
              </w:rPr>
              <w:t>Required Handling</w:t>
            </w:r>
          </w:p>
        </w:tc>
      </w:tr>
      <w:tr>
        <w:tc>
          <w:tcPr>
            <w:tcW w:type="dxa" w:w="5112"/>
            <w:vAlign w:val="top"/>
          </w:tcPr>
          <w:p>
            <w:r/>
            <w:r>
              <w:rPr>
                <w:rFonts w:ascii="Calibri" w:hAnsi="Calibri"/>
                <w:b w:val="0"/>
                <w:sz w:val="16"/>
              </w:rPr>
              <w:t>Device serial number</w:t>
            </w:r>
          </w:p>
        </w:tc>
        <w:tc>
          <w:tcPr>
            <w:tcW w:type="dxa" w:w="5112"/>
            <w:vAlign w:val="top"/>
          </w:tcPr>
          <w:p>
            <w:r/>
            <w:r>
              <w:rPr>
                <w:rFonts w:ascii="Calibri" w:hAnsi="Calibri"/>
                <w:b w:val="0"/>
                <w:sz w:val="16"/>
              </w:rPr>
              <w:t>Capture only when relevant; do not post in public channels.</w:t>
            </w:r>
          </w:p>
        </w:tc>
      </w:tr>
      <w:tr>
        <w:tc>
          <w:tcPr>
            <w:tcW w:type="dxa" w:w="5112"/>
            <w:vAlign w:val="top"/>
          </w:tcPr>
          <w:p>
            <w:r/>
            <w:r>
              <w:rPr>
                <w:rFonts w:ascii="Calibri" w:hAnsi="Calibri"/>
                <w:b w:val="0"/>
                <w:sz w:val="16"/>
              </w:rPr>
              <w:t>Firmware and app version</w:t>
            </w:r>
          </w:p>
        </w:tc>
        <w:tc>
          <w:tcPr>
            <w:tcW w:type="dxa" w:w="5112"/>
            <w:vAlign w:val="top"/>
          </w:tcPr>
          <w:p>
            <w:r/>
            <w:r>
              <w:rPr>
                <w:rFonts w:ascii="Calibri" w:hAnsi="Calibri"/>
                <w:b w:val="0"/>
                <w:sz w:val="16"/>
              </w:rPr>
              <w:t>Record exact versions when the issue may relate to software behavior.</w:t>
            </w:r>
          </w:p>
        </w:tc>
      </w:tr>
      <w:tr>
        <w:tc>
          <w:tcPr>
            <w:tcW w:type="dxa" w:w="5112"/>
            <w:vAlign w:val="top"/>
          </w:tcPr>
          <w:p>
            <w:r/>
            <w:r>
              <w:rPr>
                <w:rFonts w:ascii="Calibri" w:hAnsi="Calibri"/>
                <w:b w:val="0"/>
                <w:sz w:val="16"/>
              </w:rPr>
              <w:t>Diagnostic log ID</w:t>
            </w:r>
          </w:p>
        </w:tc>
        <w:tc>
          <w:tcPr>
            <w:tcW w:type="dxa" w:w="5112"/>
            <w:vAlign w:val="top"/>
          </w:tcPr>
          <w:p>
            <w:r/>
            <w:r>
              <w:rPr>
                <w:rFonts w:ascii="Calibri" w:hAnsi="Calibri"/>
                <w:b w:val="0"/>
                <w:sz w:val="16"/>
              </w:rPr>
              <w:t>Use approved diagnostic tool; avoid copying raw sensitive logs into general notes when not required.</w:t>
            </w:r>
          </w:p>
        </w:tc>
      </w:tr>
      <w:tr>
        <w:tc>
          <w:tcPr>
            <w:tcW w:type="dxa" w:w="5112"/>
            <w:vAlign w:val="top"/>
          </w:tcPr>
          <w:p>
            <w:r/>
            <w:r>
              <w:rPr>
                <w:rFonts w:ascii="Calibri" w:hAnsi="Calibri"/>
                <w:b w:val="0"/>
                <w:sz w:val="16"/>
              </w:rPr>
              <w:t>Photos or videos</w:t>
            </w:r>
          </w:p>
        </w:tc>
        <w:tc>
          <w:tcPr>
            <w:tcW w:type="dxa" w:w="5112"/>
            <w:vAlign w:val="top"/>
          </w:tcPr>
          <w:p>
            <w:r/>
            <w:r>
              <w:rPr>
                <w:rFonts w:ascii="Calibri" w:hAnsi="Calibri"/>
                <w:b w:val="0"/>
                <w:sz w:val="16"/>
              </w:rPr>
              <w:t>Request only what is necessary to show damage, installation, error lights, or package condition.</w:t>
            </w:r>
          </w:p>
        </w:tc>
      </w:tr>
      <w:tr>
        <w:tc>
          <w:tcPr>
            <w:tcW w:type="dxa" w:w="5112"/>
            <w:vAlign w:val="top"/>
          </w:tcPr>
          <w:p>
            <w:r/>
            <w:r>
              <w:rPr>
                <w:rFonts w:ascii="Calibri" w:hAnsi="Calibri"/>
                <w:b w:val="0"/>
                <w:sz w:val="16"/>
              </w:rPr>
              <w:t>Network information</w:t>
            </w:r>
          </w:p>
        </w:tc>
        <w:tc>
          <w:tcPr>
            <w:tcW w:type="dxa" w:w="5112"/>
            <w:vAlign w:val="top"/>
          </w:tcPr>
          <w:p>
            <w:r/>
            <w:r>
              <w:rPr>
                <w:rFonts w:ascii="Calibri" w:hAnsi="Calibri"/>
                <w:b w:val="0"/>
                <w:sz w:val="16"/>
              </w:rPr>
              <w:t>Capture general router type, band, and signal condition; never request Wi-Fi password.</w:t>
            </w:r>
          </w:p>
        </w:tc>
      </w:tr>
      <w:tr>
        <w:tc>
          <w:tcPr>
            <w:tcW w:type="dxa" w:w="5112"/>
            <w:vAlign w:val="top"/>
          </w:tcPr>
          <w:p>
            <w:r/>
            <w:r>
              <w:rPr>
                <w:rFonts w:ascii="Calibri" w:hAnsi="Calibri"/>
                <w:b w:val="0"/>
                <w:sz w:val="16"/>
              </w:rPr>
              <w:t>Security codes or access credentials</w:t>
            </w:r>
          </w:p>
        </w:tc>
        <w:tc>
          <w:tcPr>
            <w:tcW w:type="dxa" w:w="5112"/>
            <w:vAlign w:val="top"/>
          </w:tcPr>
          <w:p>
            <w:r/>
            <w:r>
              <w:rPr>
                <w:rFonts w:ascii="Calibri" w:hAnsi="Calibri"/>
                <w:b w:val="0"/>
                <w:sz w:val="16"/>
              </w:rPr>
              <w:t>Never request or store full codes, passwords, or recovery credentials.</w:t>
            </w:r>
          </w:p>
        </w:tc>
      </w:tr>
    </w:tbl>
    <w:p/>
    <w:p>
      <w:pPr>
        <w:pStyle w:val="Heading3"/>
      </w:pPr>
      <w:r>
        <w:t>Technical Escalation Flow</w:t>
      </w:r>
    </w:p>
    <w:p>
      <w:pPr>
        <w:pStyle w:val="IntenseQuote"/>
      </w:pPr>
      <w:r>
        <w:t>Confirm product and account  -&gt;  Complete approved troubleshooting  -&gt;  Collect diagnostics  -&gt;  Assign technical severity  -&gt;  Route to technical owner  -&gt;  Review logs and history  -&gt;  Recommend fix, replacement, refund, or engineering review  -&gt;  Update customer  -&gt;  Close with root cause</w:t>
      </w:r>
    </w:p>
    <w:p>
      <w:pPr>
        <w:pStyle w:val="Heading1"/>
      </w:pPr>
      <w:r>
        <w:t>10. Refund, Return, and Financial Escalations</w:t>
      </w:r>
    </w:p>
    <w:p>
      <w:pPr>
        <w:jc w:val="both"/>
      </w:pPr>
      <w:r>
        <w:t>Refund and return escalations must follow the Refund Process SOP and published policies. Escalation is required when a refund request falls outside standard eligibility, exceeds agent authority, lacks required return or inspection evidence, involves a payment failure, includes a chargeback threat, or may create duplicate financial exposure. Employees must never issue a refund simply to end a difficult interaction unless the refund is eligible and approved according to authority rules.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
              <w:rPr>
                <w:rFonts w:ascii="Calibri" w:hAnsi="Calibri"/>
                <w:b/>
                <w:sz w:val="17"/>
              </w:rPr>
              <w:t>Financial Trigger</w:t>
            </w:r>
          </w:p>
        </w:tc>
        <w:tc>
          <w:tcPr>
            <w:tcW w:type="dxa" w:w="3408"/>
            <w:shd w:fill="D9EAF7"/>
            <w:vAlign w:val="center"/>
          </w:tcPr>
          <w:p>
            <w:r/>
            <w:r>
              <w:rPr>
                <w:rFonts w:ascii="Calibri" w:hAnsi="Calibri"/>
                <w:b/>
                <w:sz w:val="17"/>
              </w:rPr>
              <w:t>Escalation Path</w:t>
            </w:r>
          </w:p>
        </w:tc>
        <w:tc>
          <w:tcPr>
            <w:tcW w:type="dxa" w:w="3408"/>
            <w:shd w:fill="D9EAF7"/>
            <w:vAlign w:val="center"/>
          </w:tcPr>
          <w:p>
            <w:r/>
            <w:r>
              <w:rPr>
                <w:rFonts w:ascii="Calibri" w:hAnsi="Calibri"/>
                <w:b/>
                <w:sz w:val="17"/>
              </w:rPr>
              <w:t>Key Control</w:t>
            </w:r>
          </w:p>
        </w:tc>
      </w:tr>
      <w:tr>
        <w:tc>
          <w:tcPr>
            <w:tcW w:type="dxa" w:w="3408"/>
            <w:vAlign w:val="top"/>
          </w:tcPr>
          <w:p>
            <w:r/>
            <w:r>
              <w:rPr>
                <w:rFonts w:ascii="Calibri" w:hAnsi="Calibri"/>
                <w:b w:val="0"/>
                <w:sz w:val="16"/>
              </w:rPr>
              <w:t>Refund amount exceeds frontline threshold</w:t>
            </w:r>
          </w:p>
        </w:tc>
        <w:tc>
          <w:tcPr>
            <w:tcW w:type="dxa" w:w="3408"/>
            <w:vAlign w:val="top"/>
          </w:tcPr>
          <w:p>
            <w:r/>
            <w:r>
              <w:rPr>
                <w:rFonts w:ascii="Calibri" w:hAnsi="Calibri"/>
                <w:b w:val="0"/>
                <w:sz w:val="16"/>
              </w:rPr>
              <w:t>Team Lead or Escalation Specialist</w:t>
            </w:r>
          </w:p>
        </w:tc>
        <w:tc>
          <w:tcPr>
            <w:tcW w:type="dxa" w:w="3408"/>
            <w:vAlign w:val="top"/>
          </w:tcPr>
          <w:p>
            <w:r/>
            <w:r>
              <w:rPr>
                <w:rFonts w:ascii="Calibri" w:hAnsi="Calibri"/>
                <w:b w:val="0"/>
                <w:sz w:val="16"/>
              </w:rPr>
              <w:t>Document approval and verified amount before processing.</w:t>
            </w:r>
          </w:p>
        </w:tc>
      </w:tr>
      <w:tr>
        <w:tc>
          <w:tcPr>
            <w:tcW w:type="dxa" w:w="3408"/>
            <w:vAlign w:val="top"/>
          </w:tcPr>
          <w:p>
            <w:r/>
            <w:r>
              <w:rPr>
                <w:rFonts w:ascii="Calibri" w:hAnsi="Calibri"/>
                <w:b w:val="0"/>
                <w:sz w:val="16"/>
              </w:rPr>
              <w:t>Return not received but customer demands refund</w:t>
            </w:r>
          </w:p>
        </w:tc>
        <w:tc>
          <w:tcPr>
            <w:tcW w:type="dxa" w:w="3408"/>
            <w:vAlign w:val="top"/>
          </w:tcPr>
          <w:p>
            <w:r/>
            <w:r>
              <w:rPr>
                <w:rFonts w:ascii="Calibri" w:hAnsi="Calibri"/>
                <w:b w:val="0"/>
                <w:sz w:val="16"/>
              </w:rPr>
              <w:t>Returns Management and Logistics</w:t>
            </w:r>
          </w:p>
        </w:tc>
        <w:tc>
          <w:tcPr>
            <w:tcW w:type="dxa" w:w="3408"/>
            <w:vAlign w:val="top"/>
          </w:tcPr>
          <w:p>
            <w:r/>
            <w:r>
              <w:rPr>
                <w:rFonts w:ascii="Calibri" w:hAnsi="Calibri"/>
                <w:b w:val="0"/>
                <w:sz w:val="16"/>
              </w:rPr>
              <w:t>Verify tracking, carrier scans, RMA history, and customer evidence.</w:t>
            </w:r>
          </w:p>
        </w:tc>
      </w:tr>
      <w:tr>
        <w:tc>
          <w:tcPr>
            <w:tcW w:type="dxa" w:w="3408"/>
            <w:vAlign w:val="top"/>
          </w:tcPr>
          <w:p>
            <w:r/>
            <w:r>
              <w:rPr>
                <w:rFonts w:ascii="Calibri" w:hAnsi="Calibri"/>
                <w:b w:val="0"/>
                <w:sz w:val="16"/>
              </w:rPr>
              <w:t>Payment method unavailable or closed</w:t>
            </w:r>
          </w:p>
        </w:tc>
        <w:tc>
          <w:tcPr>
            <w:tcW w:type="dxa" w:w="3408"/>
            <w:vAlign w:val="top"/>
          </w:tcPr>
          <w:p>
            <w:r/>
            <w:r>
              <w:rPr>
                <w:rFonts w:ascii="Calibri" w:hAnsi="Calibri"/>
                <w:b w:val="0"/>
                <w:sz w:val="16"/>
              </w:rPr>
              <w:t>Finance Operations</w:t>
            </w:r>
          </w:p>
        </w:tc>
        <w:tc>
          <w:tcPr>
            <w:tcW w:type="dxa" w:w="3408"/>
            <w:vAlign w:val="top"/>
          </w:tcPr>
          <w:p>
            <w:r/>
            <w:r>
              <w:rPr>
                <w:rFonts w:ascii="Calibri" w:hAnsi="Calibri"/>
                <w:b w:val="0"/>
                <w:sz w:val="16"/>
              </w:rPr>
              <w:t>Follow approved alternative refund rules and identity verification.</w:t>
            </w:r>
          </w:p>
        </w:tc>
      </w:tr>
      <w:tr>
        <w:tc>
          <w:tcPr>
            <w:tcW w:type="dxa" w:w="3408"/>
            <w:vAlign w:val="top"/>
          </w:tcPr>
          <w:p>
            <w:r/>
            <w:r>
              <w:rPr>
                <w:rFonts w:ascii="Calibri" w:hAnsi="Calibri"/>
                <w:b w:val="0"/>
                <w:sz w:val="16"/>
              </w:rPr>
              <w:t>Duplicate charge or overcharge claim</w:t>
            </w:r>
          </w:p>
        </w:tc>
        <w:tc>
          <w:tcPr>
            <w:tcW w:type="dxa" w:w="3408"/>
            <w:vAlign w:val="top"/>
          </w:tcPr>
          <w:p>
            <w:r/>
            <w:r>
              <w:rPr>
                <w:rFonts w:ascii="Calibri" w:hAnsi="Calibri"/>
                <w:b w:val="0"/>
                <w:sz w:val="16"/>
              </w:rPr>
              <w:t>Finance Operations</w:t>
            </w:r>
          </w:p>
        </w:tc>
        <w:tc>
          <w:tcPr>
            <w:tcW w:type="dxa" w:w="3408"/>
            <w:vAlign w:val="top"/>
          </w:tcPr>
          <w:p>
            <w:r/>
            <w:r>
              <w:rPr>
                <w:rFonts w:ascii="Calibri" w:hAnsi="Calibri"/>
                <w:b w:val="0"/>
                <w:sz w:val="16"/>
              </w:rPr>
              <w:t>Confirm PSP record and prior adjustments.</w:t>
            </w:r>
          </w:p>
        </w:tc>
      </w:tr>
      <w:tr>
        <w:tc>
          <w:tcPr>
            <w:tcW w:type="dxa" w:w="3408"/>
            <w:vAlign w:val="top"/>
          </w:tcPr>
          <w:p>
            <w:r/>
            <w:r>
              <w:rPr>
                <w:rFonts w:ascii="Calibri" w:hAnsi="Calibri"/>
                <w:b w:val="0"/>
                <w:sz w:val="16"/>
              </w:rPr>
              <w:t>Chargeback threat or active dispute</w:t>
            </w:r>
          </w:p>
        </w:tc>
        <w:tc>
          <w:tcPr>
            <w:tcW w:type="dxa" w:w="3408"/>
            <w:vAlign w:val="top"/>
          </w:tcPr>
          <w:p>
            <w:r/>
            <w:r>
              <w:rPr>
                <w:rFonts w:ascii="Calibri" w:hAnsi="Calibri"/>
                <w:b w:val="0"/>
                <w:sz w:val="16"/>
              </w:rPr>
              <w:t>Fraud/Risk and Finance</w:t>
            </w:r>
          </w:p>
        </w:tc>
        <w:tc>
          <w:tcPr>
            <w:tcW w:type="dxa" w:w="3408"/>
            <w:vAlign w:val="top"/>
          </w:tcPr>
          <w:p>
            <w:r/>
            <w:r>
              <w:rPr>
                <w:rFonts w:ascii="Calibri" w:hAnsi="Calibri"/>
                <w:b w:val="0"/>
                <w:sz w:val="16"/>
              </w:rPr>
              <w:t>Check chargeback status before refunding to avoid double loss.</w:t>
            </w:r>
          </w:p>
        </w:tc>
      </w:tr>
      <w:tr>
        <w:tc>
          <w:tcPr>
            <w:tcW w:type="dxa" w:w="3408"/>
            <w:vAlign w:val="top"/>
          </w:tcPr>
          <w:p>
            <w:r/>
            <w:r>
              <w:rPr>
                <w:rFonts w:ascii="Calibri" w:hAnsi="Calibri"/>
                <w:b w:val="0"/>
                <w:sz w:val="16"/>
              </w:rPr>
              <w:t>High-value bundle or missing accessory dispute</w:t>
            </w:r>
          </w:p>
        </w:tc>
        <w:tc>
          <w:tcPr>
            <w:tcW w:type="dxa" w:w="3408"/>
            <w:vAlign w:val="top"/>
          </w:tcPr>
          <w:p>
            <w:r/>
            <w:r>
              <w:rPr>
                <w:rFonts w:ascii="Calibri" w:hAnsi="Calibri"/>
                <w:b w:val="0"/>
                <w:sz w:val="16"/>
              </w:rPr>
              <w:t>Warehouse and Escalation Manager</w:t>
            </w:r>
          </w:p>
        </w:tc>
        <w:tc>
          <w:tcPr>
            <w:tcW w:type="dxa" w:w="3408"/>
            <w:vAlign w:val="top"/>
          </w:tcPr>
          <w:p>
            <w:r/>
            <w:r>
              <w:rPr>
                <w:rFonts w:ascii="Calibri" w:hAnsi="Calibri"/>
                <w:b w:val="0"/>
                <w:sz w:val="16"/>
              </w:rPr>
              <w:t>Use inspection record and bundle refund rules.</w:t>
            </w:r>
          </w:p>
        </w:tc>
      </w:tr>
    </w:tbl>
    <w:p/>
    <w:p>
      <w:pPr>
        <w:pStyle w:val="ListBullet"/>
      </w:pPr>
      <w:r>
        <w:t>Do not approve refund exceptions without recording policy basis, customer impact, business rationale, and approver name.</w:t>
      </w:r>
    </w:p>
    <w:p>
      <w:pPr>
        <w:pStyle w:val="ListBullet"/>
      </w:pPr>
      <w:r>
        <w:t>Do not process a refund after a chargeback is active unless Finance confirms the correct handling path.</w:t>
      </w:r>
    </w:p>
    <w:p>
      <w:pPr>
        <w:pStyle w:val="ListBullet"/>
      </w:pPr>
      <w:r>
        <w:t>When refund and replacement are both discussed, document the selected remedy and prevent duplicate resolution.</w:t>
      </w:r>
    </w:p>
    <w:p>
      <w:pPr>
        <w:pStyle w:val="ListBullet"/>
      </w:pPr>
      <w:r>
        <w:t>For smart locks, cameras, and security systems, consider whether account unlinking or device reset is required before resale or return closure.</w:t>
      </w:r>
    </w:p>
    <w:p>
      <w:pPr>
        <w:pStyle w:val="Heading1"/>
      </w:pPr>
      <w:r>
        <w:t>11. Safety, Security, and Privacy Escalations</w:t>
      </w:r>
    </w:p>
    <w:p>
      <w:pPr>
        <w:jc w:val="both"/>
      </w:pPr>
      <w:r>
        <w:t>Safety, security, and privacy cases require immediate attention because the impact may extend beyond a routine service issue. A safety issue includes claims of smoke, overheating, electrical shock, fire, injury, property damage, battery swelling, or unsafe installation. A security issue includes unauthorized access, lock failure, alarm failure, unexpected device pairing, or compromised account access. A privacy issue includes data access complaints, deletion complaints, unexpected recording, unauthorized sharing, account exposure, or regulatory rights requests.</w:t>
      </w:r>
    </w:p>
    <w:p>
      <w:pPr>
        <w:jc w:val="both"/>
      </w:pPr>
      <w:r>
        <w:t>Frontline employees should not investigate these cases independently beyond initial fact collection and customer safety guidance. The correct action is to acknowledge the concern, collect minimum necessary facts, assign the appropriate severity, and notify the designated owner. If the customer reports immediate danger, the employee should advise the customer to stop using the product where safe to do so and contact local emergency or qualified professional services when appropriate. Employees must not provide electrical, medical, legal, or security advice beyond approved scripts.</w:t>
      </w:r>
    </w:p>
    <w:p>
      <w:pPr>
        <w:jc w:val="both"/>
      </w:pPr>
      <w:r>
        <w:t>Privacy escalations must be handled with strict data minimization. Do not ask the customer to send sensitive personal data unless required by the approved privacy workflow. Do not discuss another account, household member, installer, reseller, or third party without verification and permission. If the case may involve unauthorized access or data exposure, preserve records and notify the privacy contact according to the incident response guide.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
              <w:rPr>
                <w:rFonts w:ascii="Calibri" w:hAnsi="Calibri"/>
                <w:b/>
                <w:sz w:val="17"/>
              </w:rPr>
              <w:t>Trigger</w:t>
            </w:r>
          </w:p>
        </w:tc>
        <w:tc>
          <w:tcPr>
            <w:tcW w:type="dxa" w:w="3408"/>
            <w:shd w:fill="D9EAF7"/>
            <w:vAlign w:val="center"/>
          </w:tcPr>
          <w:p>
            <w:r/>
            <w:r>
              <w:rPr>
                <w:rFonts w:ascii="Calibri" w:hAnsi="Calibri"/>
                <w:b/>
                <w:sz w:val="17"/>
              </w:rPr>
              <w:t>Immediate Action</w:t>
            </w:r>
          </w:p>
        </w:tc>
        <w:tc>
          <w:tcPr>
            <w:tcW w:type="dxa" w:w="3408"/>
            <w:shd w:fill="D9EAF7"/>
            <w:vAlign w:val="center"/>
          </w:tcPr>
          <w:p>
            <w:r/>
            <w:r>
              <w:rPr>
                <w:rFonts w:ascii="Calibri" w:hAnsi="Calibri"/>
                <w:b/>
                <w:sz w:val="17"/>
              </w:rPr>
              <w:t>Escalation Owner</w:t>
            </w:r>
          </w:p>
        </w:tc>
      </w:tr>
      <w:tr>
        <w:tc>
          <w:tcPr>
            <w:tcW w:type="dxa" w:w="3408"/>
            <w:vAlign w:val="top"/>
          </w:tcPr>
          <w:p>
            <w:r/>
            <w:r>
              <w:rPr>
                <w:rFonts w:ascii="Calibri" w:hAnsi="Calibri"/>
                <w:b w:val="0"/>
                <w:sz w:val="16"/>
              </w:rPr>
              <w:t>Overheating, smoke, fire, injury, electrical shock</w:t>
            </w:r>
          </w:p>
        </w:tc>
        <w:tc>
          <w:tcPr>
            <w:tcW w:type="dxa" w:w="3408"/>
            <w:vAlign w:val="top"/>
          </w:tcPr>
          <w:p>
            <w:r/>
            <w:r>
              <w:rPr>
                <w:rFonts w:ascii="Calibri" w:hAnsi="Calibri"/>
                <w:b w:val="0"/>
                <w:sz w:val="16"/>
              </w:rPr>
              <w:t>Advise customer to stop using device if safe, collect product/order facts, mark L3 or L4 if pattern.</w:t>
            </w:r>
          </w:p>
        </w:tc>
        <w:tc>
          <w:tcPr>
            <w:tcW w:type="dxa" w:w="3408"/>
            <w:vAlign w:val="top"/>
          </w:tcPr>
          <w:p>
            <w:r/>
            <w:r>
              <w:rPr>
                <w:rFonts w:ascii="Calibri" w:hAnsi="Calibri"/>
                <w:b w:val="0"/>
                <w:sz w:val="16"/>
              </w:rPr>
              <w:t>Safety escalation manager</w:t>
            </w:r>
          </w:p>
        </w:tc>
      </w:tr>
      <w:tr>
        <w:tc>
          <w:tcPr>
            <w:tcW w:type="dxa" w:w="3408"/>
            <w:vAlign w:val="top"/>
          </w:tcPr>
          <w:p>
            <w:r/>
            <w:r>
              <w:rPr>
                <w:rFonts w:ascii="Calibri" w:hAnsi="Calibri"/>
                <w:b w:val="0"/>
                <w:sz w:val="16"/>
              </w:rPr>
              <w:t>Smart lock failure causing lockout or unauthorized access</w:t>
            </w:r>
          </w:p>
        </w:tc>
        <w:tc>
          <w:tcPr>
            <w:tcW w:type="dxa" w:w="3408"/>
            <w:vAlign w:val="top"/>
          </w:tcPr>
          <w:p>
            <w:r/>
            <w:r>
              <w:rPr>
                <w:rFonts w:ascii="Calibri" w:hAnsi="Calibri"/>
                <w:b w:val="0"/>
                <w:sz w:val="16"/>
              </w:rPr>
              <w:t>Treat as security-sensitive, verify account, collect facts, prioritize response.</w:t>
            </w:r>
          </w:p>
        </w:tc>
        <w:tc>
          <w:tcPr>
            <w:tcW w:type="dxa" w:w="3408"/>
            <w:vAlign w:val="top"/>
          </w:tcPr>
          <w:p>
            <w:r/>
            <w:r>
              <w:rPr>
                <w:rFonts w:ascii="Calibri" w:hAnsi="Calibri"/>
                <w:b w:val="0"/>
                <w:sz w:val="16"/>
              </w:rPr>
              <w:t>Escalation manager and technical support</w:t>
            </w:r>
          </w:p>
        </w:tc>
      </w:tr>
      <w:tr>
        <w:tc>
          <w:tcPr>
            <w:tcW w:type="dxa" w:w="3408"/>
            <w:vAlign w:val="top"/>
          </w:tcPr>
          <w:p>
            <w:r/>
            <w:r>
              <w:rPr>
                <w:rFonts w:ascii="Calibri" w:hAnsi="Calibri"/>
                <w:b w:val="0"/>
                <w:sz w:val="16"/>
              </w:rPr>
              <w:t>Camera or doorbell privacy complaint</w:t>
            </w:r>
          </w:p>
        </w:tc>
        <w:tc>
          <w:tcPr>
            <w:tcW w:type="dxa" w:w="3408"/>
            <w:vAlign w:val="top"/>
          </w:tcPr>
          <w:p>
            <w:r/>
            <w:r>
              <w:rPr>
                <w:rFonts w:ascii="Calibri" w:hAnsi="Calibri"/>
                <w:b w:val="0"/>
                <w:sz w:val="16"/>
              </w:rPr>
              <w:t>Move to private channel, collect minimal evidence, mark privacy/security category.</w:t>
            </w:r>
          </w:p>
        </w:tc>
        <w:tc>
          <w:tcPr>
            <w:tcW w:type="dxa" w:w="3408"/>
            <w:vAlign w:val="top"/>
          </w:tcPr>
          <w:p>
            <w:r/>
            <w:r>
              <w:rPr>
                <w:rFonts w:ascii="Calibri" w:hAnsi="Calibri"/>
                <w:b w:val="0"/>
                <w:sz w:val="16"/>
              </w:rPr>
              <w:t>Privacy contact and technical support</w:t>
            </w:r>
          </w:p>
        </w:tc>
      </w:tr>
      <w:tr>
        <w:tc>
          <w:tcPr>
            <w:tcW w:type="dxa" w:w="3408"/>
            <w:vAlign w:val="top"/>
          </w:tcPr>
          <w:p>
            <w:r/>
            <w:r>
              <w:rPr>
                <w:rFonts w:ascii="Calibri" w:hAnsi="Calibri"/>
                <w:b w:val="0"/>
                <w:sz w:val="16"/>
              </w:rPr>
              <w:t>Account takeover suspicion</w:t>
            </w:r>
          </w:p>
        </w:tc>
        <w:tc>
          <w:tcPr>
            <w:tcW w:type="dxa" w:w="3408"/>
            <w:vAlign w:val="top"/>
          </w:tcPr>
          <w:p>
            <w:r/>
            <w:r>
              <w:rPr>
                <w:rFonts w:ascii="Calibri" w:hAnsi="Calibri"/>
                <w:b w:val="0"/>
                <w:sz w:val="16"/>
              </w:rPr>
              <w:t>Secure account workflow, avoid disclosing data, require verification.</w:t>
            </w:r>
          </w:p>
        </w:tc>
        <w:tc>
          <w:tcPr>
            <w:tcW w:type="dxa" w:w="3408"/>
            <w:vAlign w:val="top"/>
          </w:tcPr>
          <w:p>
            <w:r/>
            <w:r>
              <w:rPr>
                <w:rFonts w:ascii="Calibri" w:hAnsi="Calibri"/>
                <w:b w:val="0"/>
                <w:sz w:val="16"/>
              </w:rPr>
              <w:t>Fraud/Risk and security owner</w:t>
            </w:r>
          </w:p>
        </w:tc>
      </w:tr>
      <w:tr>
        <w:tc>
          <w:tcPr>
            <w:tcW w:type="dxa" w:w="3408"/>
            <w:vAlign w:val="top"/>
          </w:tcPr>
          <w:p>
            <w:r/>
            <w:r>
              <w:rPr>
                <w:rFonts w:ascii="Calibri" w:hAnsi="Calibri"/>
                <w:b w:val="0"/>
                <w:sz w:val="16"/>
              </w:rPr>
              <w:t>Data deletion or access request</w:t>
            </w:r>
          </w:p>
        </w:tc>
        <w:tc>
          <w:tcPr>
            <w:tcW w:type="dxa" w:w="3408"/>
            <w:vAlign w:val="top"/>
          </w:tcPr>
          <w:p>
            <w:r/>
            <w:r>
              <w:rPr>
                <w:rFonts w:ascii="Calibri" w:hAnsi="Calibri"/>
                <w:b w:val="0"/>
                <w:sz w:val="16"/>
              </w:rPr>
              <w:t>Route to privacy workflow; do not manually delete records outside procedure.</w:t>
            </w:r>
          </w:p>
        </w:tc>
        <w:tc>
          <w:tcPr>
            <w:tcW w:type="dxa" w:w="3408"/>
            <w:vAlign w:val="top"/>
          </w:tcPr>
          <w:p>
            <w:r/>
            <w:r>
              <w:rPr>
                <w:rFonts w:ascii="Calibri" w:hAnsi="Calibri"/>
                <w:b w:val="0"/>
                <w:sz w:val="16"/>
              </w:rPr>
              <w:t>Privacy operations</w:t>
            </w:r>
          </w:p>
        </w:tc>
      </w:tr>
      <w:tr>
        <w:tc>
          <w:tcPr>
            <w:tcW w:type="dxa" w:w="3408"/>
            <w:vAlign w:val="top"/>
          </w:tcPr>
          <w:p>
            <w:r/>
            <w:r>
              <w:rPr>
                <w:rFonts w:ascii="Calibri" w:hAnsi="Calibri"/>
                <w:b w:val="0"/>
                <w:sz w:val="16"/>
              </w:rPr>
              <w:t>Regulatory, legal, media, or attorney mention</w:t>
            </w:r>
          </w:p>
        </w:tc>
        <w:tc>
          <w:tcPr>
            <w:tcW w:type="dxa" w:w="3408"/>
            <w:vAlign w:val="top"/>
          </w:tcPr>
          <w:p>
            <w:r/>
            <w:r>
              <w:rPr>
                <w:rFonts w:ascii="Calibri" w:hAnsi="Calibri"/>
                <w:b w:val="0"/>
                <w:sz w:val="16"/>
              </w:rPr>
              <w:t>Document exact statement without paraphrasing as fact; escalate immediately.</w:t>
            </w:r>
          </w:p>
        </w:tc>
        <w:tc>
          <w:tcPr>
            <w:tcW w:type="dxa" w:w="3408"/>
            <w:vAlign w:val="top"/>
          </w:tcPr>
          <w:p>
            <w:r/>
            <w:r>
              <w:rPr>
                <w:rFonts w:ascii="Calibri" w:hAnsi="Calibri"/>
                <w:b w:val="0"/>
                <w:sz w:val="16"/>
              </w:rPr>
              <w:t>Legal/privacy contact and leadership</w:t>
            </w:r>
          </w:p>
        </w:tc>
      </w:tr>
    </w:tbl>
    <w:p/>
    <w:p>
      <w:pPr>
        <w:pStyle w:val="Heading1"/>
      </w:pPr>
      <w:r>
        <w:t>12. Customer Communication Standards</w:t>
      </w:r>
    </w:p>
    <w:p>
      <w:pPr>
        <w:jc w:val="both"/>
      </w:pPr>
      <w:r>
        <w:t>Communication during escalation must be clear, calm, and factual. Customers should know that the case has been escalated, who owns the next step if appropriate, what information is still needed, and when they can expect an update. Employees should not over-explain internal process, blame other teams, or share internal queue names that do not help the customer. The tone should be professional, accountable, and respectful even when the customer is angry.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
              <w:rPr>
                <w:rFonts w:ascii="Calibri" w:hAnsi="Calibri"/>
                <w:b/>
                <w:sz w:val="17"/>
              </w:rPr>
              <w:t>Situation</w:t>
            </w:r>
          </w:p>
        </w:tc>
        <w:tc>
          <w:tcPr>
            <w:tcW w:type="dxa" w:w="3408"/>
            <w:shd w:fill="D9EAF7"/>
            <w:vAlign w:val="center"/>
          </w:tcPr>
          <w:p>
            <w:r/>
            <w:r>
              <w:rPr>
                <w:rFonts w:ascii="Calibri" w:hAnsi="Calibri"/>
                <w:b/>
                <w:sz w:val="17"/>
              </w:rPr>
              <w:t>Recommended Message Approach</w:t>
            </w:r>
          </w:p>
        </w:tc>
        <w:tc>
          <w:tcPr>
            <w:tcW w:type="dxa" w:w="3408"/>
            <w:shd w:fill="D9EAF7"/>
            <w:vAlign w:val="center"/>
          </w:tcPr>
          <w:p>
            <w:r/>
            <w:r>
              <w:rPr>
                <w:rFonts w:ascii="Calibri" w:hAnsi="Calibri"/>
                <w:b/>
                <w:sz w:val="17"/>
              </w:rPr>
              <w:t>Avoid</w:t>
            </w:r>
          </w:p>
        </w:tc>
      </w:tr>
      <w:tr>
        <w:tc>
          <w:tcPr>
            <w:tcW w:type="dxa" w:w="3408"/>
            <w:vAlign w:val="top"/>
          </w:tcPr>
          <w:p>
            <w:r/>
            <w:r>
              <w:rPr>
                <w:rFonts w:ascii="Calibri" w:hAnsi="Calibri"/>
                <w:b w:val="0"/>
                <w:sz w:val="16"/>
              </w:rPr>
              <w:t>Escalation accepted</w:t>
            </w:r>
          </w:p>
        </w:tc>
        <w:tc>
          <w:tcPr>
            <w:tcW w:type="dxa" w:w="3408"/>
            <w:vAlign w:val="top"/>
          </w:tcPr>
          <w:p>
            <w:r/>
            <w:r>
              <w:rPr>
                <w:rFonts w:ascii="Calibri" w:hAnsi="Calibri"/>
                <w:b w:val="0"/>
                <w:sz w:val="16"/>
              </w:rPr>
              <w:t>Acknowledge the concern, confirm that a specialist team is reviewing, provide next update window.</w:t>
            </w:r>
          </w:p>
        </w:tc>
        <w:tc>
          <w:tcPr>
            <w:tcW w:type="dxa" w:w="3408"/>
            <w:vAlign w:val="top"/>
          </w:tcPr>
          <w:p>
            <w:r/>
            <w:r>
              <w:rPr>
                <w:rFonts w:ascii="Calibri" w:hAnsi="Calibri"/>
                <w:b w:val="0"/>
                <w:sz w:val="16"/>
              </w:rPr>
              <w:t>Saying “I guarantee” or promising a specific outcome before review.</w:t>
            </w:r>
          </w:p>
        </w:tc>
      </w:tr>
      <w:tr>
        <w:tc>
          <w:tcPr>
            <w:tcW w:type="dxa" w:w="3408"/>
            <w:vAlign w:val="top"/>
          </w:tcPr>
          <w:p>
            <w:r/>
            <w:r>
              <w:rPr>
                <w:rFonts w:ascii="Calibri" w:hAnsi="Calibri"/>
                <w:b w:val="0"/>
                <w:sz w:val="16"/>
              </w:rPr>
              <w:t>Evidence needed</w:t>
            </w:r>
          </w:p>
        </w:tc>
        <w:tc>
          <w:tcPr>
            <w:tcW w:type="dxa" w:w="3408"/>
            <w:vAlign w:val="top"/>
          </w:tcPr>
          <w:p>
            <w:r/>
            <w:r>
              <w:rPr>
                <w:rFonts w:ascii="Calibri" w:hAnsi="Calibri"/>
                <w:b w:val="0"/>
                <w:sz w:val="16"/>
              </w:rPr>
              <w:t>Explain exactly what is needed and why, request minimum necessary evidence, provide upload instructions.</w:t>
            </w:r>
          </w:p>
        </w:tc>
        <w:tc>
          <w:tcPr>
            <w:tcW w:type="dxa" w:w="3408"/>
            <w:vAlign w:val="top"/>
          </w:tcPr>
          <w:p>
            <w:r/>
            <w:r>
              <w:rPr>
                <w:rFonts w:ascii="Calibri" w:hAnsi="Calibri"/>
                <w:b w:val="0"/>
                <w:sz w:val="16"/>
              </w:rPr>
              <w:t>Repeated vague requests such as “send more proof.”</w:t>
            </w:r>
          </w:p>
        </w:tc>
      </w:tr>
      <w:tr>
        <w:tc>
          <w:tcPr>
            <w:tcW w:type="dxa" w:w="3408"/>
            <w:vAlign w:val="top"/>
          </w:tcPr>
          <w:p>
            <w:r/>
            <w:r>
              <w:rPr>
                <w:rFonts w:ascii="Calibri" w:hAnsi="Calibri"/>
                <w:b w:val="0"/>
                <w:sz w:val="16"/>
              </w:rPr>
              <w:t>Investigation delayed</w:t>
            </w:r>
          </w:p>
        </w:tc>
        <w:tc>
          <w:tcPr>
            <w:tcW w:type="dxa" w:w="3408"/>
            <w:vAlign w:val="top"/>
          </w:tcPr>
          <w:p>
            <w:r/>
            <w:r>
              <w:rPr>
                <w:rFonts w:ascii="Calibri" w:hAnsi="Calibri"/>
                <w:b w:val="0"/>
                <w:sz w:val="16"/>
              </w:rPr>
              <w:t>Apologize for delay, provide known status, explain next action, give revised update window.</w:t>
            </w:r>
          </w:p>
        </w:tc>
        <w:tc>
          <w:tcPr>
            <w:tcW w:type="dxa" w:w="3408"/>
            <w:vAlign w:val="top"/>
          </w:tcPr>
          <w:p>
            <w:r/>
            <w:r>
              <w:rPr>
                <w:rFonts w:ascii="Calibri" w:hAnsi="Calibri"/>
                <w:b w:val="0"/>
                <w:sz w:val="16"/>
              </w:rPr>
              <w:t>Blaming warehouse, finance, carrier, or engineering.</w:t>
            </w:r>
          </w:p>
        </w:tc>
      </w:tr>
      <w:tr>
        <w:tc>
          <w:tcPr>
            <w:tcW w:type="dxa" w:w="3408"/>
            <w:vAlign w:val="top"/>
          </w:tcPr>
          <w:p>
            <w:r/>
            <w:r>
              <w:rPr>
                <w:rFonts w:ascii="Calibri" w:hAnsi="Calibri"/>
                <w:b w:val="0"/>
                <w:sz w:val="16"/>
              </w:rPr>
              <w:t>Resolution approved</w:t>
            </w:r>
          </w:p>
        </w:tc>
        <w:tc>
          <w:tcPr>
            <w:tcW w:type="dxa" w:w="3408"/>
            <w:vAlign w:val="top"/>
          </w:tcPr>
          <w:p>
            <w:r/>
            <w:r>
              <w:rPr>
                <w:rFonts w:ascii="Calibri" w:hAnsi="Calibri"/>
                <w:b w:val="0"/>
                <w:sz w:val="16"/>
              </w:rPr>
              <w:t>State action, amount or remedy where applicable, method, expected timing, and any customer next steps.</w:t>
            </w:r>
          </w:p>
        </w:tc>
        <w:tc>
          <w:tcPr>
            <w:tcW w:type="dxa" w:w="3408"/>
            <w:vAlign w:val="top"/>
          </w:tcPr>
          <w:p>
            <w:r/>
            <w:r>
              <w:rPr>
                <w:rFonts w:ascii="Calibri" w:hAnsi="Calibri"/>
                <w:b w:val="0"/>
                <w:sz w:val="16"/>
              </w:rPr>
              <w:t>Using internal jargon or unclear refund timing.</w:t>
            </w:r>
          </w:p>
        </w:tc>
      </w:tr>
      <w:tr>
        <w:tc>
          <w:tcPr>
            <w:tcW w:type="dxa" w:w="3408"/>
            <w:vAlign w:val="top"/>
          </w:tcPr>
          <w:p>
            <w:r/>
            <w:r>
              <w:rPr>
                <w:rFonts w:ascii="Calibri" w:hAnsi="Calibri"/>
                <w:b w:val="0"/>
                <w:sz w:val="16"/>
              </w:rPr>
              <w:t>Resolution denied</w:t>
            </w:r>
          </w:p>
        </w:tc>
        <w:tc>
          <w:tcPr>
            <w:tcW w:type="dxa" w:w="3408"/>
            <w:vAlign w:val="top"/>
          </w:tcPr>
          <w:p>
            <w:r/>
            <w:r>
              <w:rPr>
                <w:rFonts w:ascii="Calibri" w:hAnsi="Calibri"/>
                <w:b w:val="0"/>
                <w:sz w:val="16"/>
              </w:rPr>
              <w:t>Reference applicable policy and verified facts, offer available alternatives when appropriate.</w:t>
            </w:r>
          </w:p>
        </w:tc>
        <w:tc>
          <w:tcPr>
            <w:tcW w:type="dxa" w:w="3408"/>
            <w:vAlign w:val="top"/>
          </w:tcPr>
          <w:p>
            <w:r/>
            <w:r>
              <w:rPr>
                <w:rFonts w:ascii="Calibri" w:hAnsi="Calibri"/>
                <w:b w:val="0"/>
                <w:sz w:val="16"/>
              </w:rPr>
              <w:t>Accusing the customer of misuse or fraud unless approved by risk/legal.</w:t>
            </w:r>
          </w:p>
        </w:tc>
      </w:tr>
    </w:tbl>
    <w:p/>
    <w:p>
      <w:pPr>
        <w:pStyle w:val="Heading2"/>
      </w:pPr>
      <w:r>
        <w:t>Escalation Acknowledgement Template</w:t>
      </w:r>
    </w:p>
    <w:p>
      <w:pPr>
        <w:jc w:val="both"/>
      </w:pPr>
      <w:r>
        <w:t>Thank you for sharing the details. I understand this issue has not been resolved through the standard support steps. I have escalated your case for specialist review. The team will review the verified order information, the product details, and the evidence already provided. We will update you by [date/time window] or sooner if a decision is available before then.</w:t>
      </w:r>
    </w:p>
    <w:p>
      <w:pPr>
        <w:pStyle w:val="Heading2"/>
      </w:pPr>
      <w:r>
        <w:t>Evidence Request Template</w:t>
      </w:r>
    </w:p>
    <w:p>
      <w:pPr>
        <w:jc w:val="both"/>
      </w:pPr>
      <w:r>
        <w:t>To continue the review, we need one additional item: [specific evidence]. This helps us verify [reason]. Please upload it using the secure link in this message. For your privacy, please do not include passwords, full payment card numbers, Wi-Fi passwords, or unrelated personal information.</w:t>
      </w:r>
    </w:p>
    <w:p>
      <w:pPr>
        <w:pStyle w:val="Heading2"/>
      </w:pPr>
      <w:r>
        <w:t>Delay Update Template</w:t>
      </w:r>
    </w:p>
    <w:p>
      <w:pPr>
        <w:jc w:val="both"/>
      </w:pPr>
      <w:r>
        <w:t>Your case is still under review, and I am sorry for the additional wait. The current pending item is [internal dependency summarized in customer-friendly language]. We have requested the update and will follow up again by [date/time window].</w:t>
      </w:r>
    </w:p>
    <w:p>
      <w:pPr>
        <w:pStyle w:val="Heading2"/>
      </w:pPr>
      <w:r>
        <w:t>Closure Template</w:t>
      </w:r>
    </w:p>
    <w:p>
      <w:pPr>
        <w:jc w:val="both"/>
      </w:pPr>
      <w:r>
        <w:t>We have completed the review. Based on the verified information, the resolution is [action]. The next step is [customer or company action]. We have documented the case and will close this ticket once the action is complete. If the same issue reoccurs, please reply to this message so we can reopen the review with the existing case history.</w:t>
      </w:r>
    </w:p>
    <w:p>
      <w:pPr>
        <w:pStyle w:val="Heading1"/>
      </w:pPr>
      <w:r>
        <w:t>13. Timelines, SLAs, and Monitoring</w:t>
      </w:r>
    </w:p>
    <w:p>
      <w:pPr>
        <w:jc w:val="both"/>
      </w:pPr>
      <w:r>
        <w:t>Escalation SLAs define the required speed of first action and ongoing updates. They do not guarantee final resolution when the case depends on carrier investigation, device diagnostics, warehouse inspection, payment provider processing, customer evidence, or external marketplace rules. However, the escalation owner must keep the customer informed and prevent silent delays.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vAlign w:val="center"/>
          </w:tcPr>
          <w:p>
            <w:r/>
            <w:r>
              <w:rPr>
                <w:rFonts w:ascii="Calibri" w:hAnsi="Calibri"/>
                <w:b/>
                <w:sz w:val="17"/>
              </w:rPr>
              <w:t>Severity</w:t>
            </w:r>
          </w:p>
        </w:tc>
        <w:tc>
          <w:tcPr>
            <w:tcW w:type="dxa" w:w="2045"/>
            <w:shd w:fill="D9EAF7"/>
            <w:vAlign w:val="center"/>
          </w:tcPr>
          <w:p>
            <w:r/>
            <w:r>
              <w:rPr>
                <w:rFonts w:ascii="Calibri" w:hAnsi="Calibri"/>
                <w:b/>
                <w:sz w:val="17"/>
              </w:rPr>
              <w:t>First Internal Action</w:t>
            </w:r>
          </w:p>
        </w:tc>
        <w:tc>
          <w:tcPr>
            <w:tcW w:type="dxa" w:w="2045"/>
            <w:shd w:fill="D9EAF7"/>
            <w:vAlign w:val="center"/>
          </w:tcPr>
          <w:p>
            <w:r/>
            <w:r>
              <w:rPr>
                <w:rFonts w:ascii="Calibri" w:hAnsi="Calibri"/>
                <w:b/>
                <w:sz w:val="17"/>
              </w:rPr>
              <w:t>Customer Acknowledgement</w:t>
            </w:r>
          </w:p>
        </w:tc>
        <w:tc>
          <w:tcPr>
            <w:tcW w:type="dxa" w:w="2045"/>
            <w:shd w:fill="D9EAF7"/>
            <w:vAlign w:val="center"/>
          </w:tcPr>
          <w:p>
            <w:r/>
            <w:r>
              <w:rPr>
                <w:rFonts w:ascii="Calibri" w:hAnsi="Calibri"/>
                <w:b/>
                <w:sz w:val="17"/>
              </w:rPr>
              <w:t>Update Frequency</w:t>
            </w:r>
          </w:p>
        </w:tc>
        <w:tc>
          <w:tcPr>
            <w:tcW w:type="dxa" w:w="2045"/>
            <w:shd w:fill="D9EAF7"/>
            <w:vAlign w:val="center"/>
          </w:tcPr>
          <w:p>
            <w:r/>
            <w:r>
              <w:rPr>
                <w:rFonts w:ascii="Calibri" w:hAnsi="Calibri"/>
                <w:b/>
                <w:sz w:val="17"/>
              </w:rPr>
              <w:t>Target Resolution</w:t>
            </w:r>
          </w:p>
        </w:tc>
      </w:tr>
      <w:tr>
        <w:tc>
          <w:tcPr>
            <w:tcW w:type="dxa" w:w="2045"/>
            <w:vAlign w:val="top"/>
          </w:tcPr>
          <w:p>
            <w:r/>
            <w:r>
              <w:rPr>
                <w:rFonts w:ascii="Calibri" w:hAnsi="Calibri"/>
                <w:b w:val="0"/>
                <w:sz w:val="16"/>
              </w:rPr>
              <w:t>L1</w:t>
            </w:r>
          </w:p>
        </w:tc>
        <w:tc>
          <w:tcPr>
            <w:tcW w:type="dxa" w:w="2045"/>
            <w:vAlign w:val="top"/>
          </w:tcPr>
          <w:p>
            <w:r/>
            <w:r>
              <w:rPr>
                <w:rFonts w:ascii="Calibri" w:hAnsi="Calibri"/>
                <w:b w:val="0"/>
                <w:sz w:val="16"/>
              </w:rPr>
              <w:t>Same business day</w:t>
            </w:r>
          </w:p>
        </w:tc>
        <w:tc>
          <w:tcPr>
            <w:tcW w:type="dxa" w:w="2045"/>
            <w:vAlign w:val="top"/>
          </w:tcPr>
          <w:p>
            <w:r/>
            <w:r>
              <w:rPr>
                <w:rFonts w:ascii="Calibri" w:hAnsi="Calibri"/>
                <w:b w:val="0"/>
                <w:sz w:val="16"/>
              </w:rPr>
              <w:t>Same business day</w:t>
            </w:r>
          </w:p>
        </w:tc>
        <w:tc>
          <w:tcPr>
            <w:tcW w:type="dxa" w:w="2045"/>
            <w:vAlign w:val="top"/>
          </w:tcPr>
          <w:p>
            <w:r/>
            <w:r>
              <w:rPr>
                <w:rFonts w:ascii="Calibri" w:hAnsi="Calibri"/>
                <w:b w:val="0"/>
                <w:sz w:val="16"/>
              </w:rPr>
              <w:t>Every 2 business days</w:t>
            </w:r>
          </w:p>
        </w:tc>
        <w:tc>
          <w:tcPr>
            <w:tcW w:type="dxa" w:w="2045"/>
            <w:vAlign w:val="top"/>
          </w:tcPr>
          <w:p>
            <w:r/>
            <w:r>
              <w:rPr>
                <w:rFonts w:ascii="Calibri" w:hAnsi="Calibri"/>
                <w:b w:val="0"/>
                <w:sz w:val="16"/>
              </w:rPr>
              <w:t>2-3 business days when facts are available</w:t>
            </w:r>
          </w:p>
        </w:tc>
      </w:tr>
      <w:tr>
        <w:tc>
          <w:tcPr>
            <w:tcW w:type="dxa" w:w="2045"/>
            <w:vAlign w:val="top"/>
          </w:tcPr>
          <w:p>
            <w:r/>
            <w:r>
              <w:rPr>
                <w:rFonts w:ascii="Calibri" w:hAnsi="Calibri"/>
                <w:b w:val="0"/>
                <w:sz w:val="16"/>
              </w:rPr>
              <w:t>L2</w:t>
            </w:r>
          </w:p>
        </w:tc>
        <w:tc>
          <w:tcPr>
            <w:tcW w:type="dxa" w:w="2045"/>
            <w:vAlign w:val="top"/>
          </w:tcPr>
          <w:p>
            <w:r/>
            <w:r>
              <w:rPr>
                <w:rFonts w:ascii="Calibri" w:hAnsi="Calibri"/>
                <w:b w:val="0"/>
                <w:sz w:val="16"/>
              </w:rPr>
              <w:t>Within 4 business hours</w:t>
            </w:r>
          </w:p>
        </w:tc>
        <w:tc>
          <w:tcPr>
            <w:tcW w:type="dxa" w:w="2045"/>
            <w:vAlign w:val="top"/>
          </w:tcPr>
          <w:p>
            <w:r/>
            <w:r>
              <w:rPr>
                <w:rFonts w:ascii="Calibri" w:hAnsi="Calibri"/>
                <w:b w:val="0"/>
                <w:sz w:val="16"/>
              </w:rPr>
              <w:t>Within 1 business day</w:t>
            </w:r>
          </w:p>
        </w:tc>
        <w:tc>
          <w:tcPr>
            <w:tcW w:type="dxa" w:w="2045"/>
            <w:vAlign w:val="top"/>
          </w:tcPr>
          <w:p>
            <w:r/>
            <w:r>
              <w:rPr>
                <w:rFonts w:ascii="Calibri" w:hAnsi="Calibri"/>
                <w:b w:val="0"/>
                <w:sz w:val="16"/>
              </w:rPr>
              <w:t>Every 1-2 business days</w:t>
            </w:r>
          </w:p>
        </w:tc>
        <w:tc>
          <w:tcPr>
            <w:tcW w:type="dxa" w:w="2045"/>
            <w:vAlign w:val="top"/>
          </w:tcPr>
          <w:p>
            <w:r/>
            <w:r>
              <w:rPr>
                <w:rFonts w:ascii="Calibri" w:hAnsi="Calibri"/>
                <w:b w:val="0"/>
                <w:sz w:val="16"/>
              </w:rPr>
              <w:t>3-5 business days when dependencies cooperate</w:t>
            </w:r>
          </w:p>
        </w:tc>
      </w:tr>
      <w:tr>
        <w:tc>
          <w:tcPr>
            <w:tcW w:type="dxa" w:w="2045"/>
            <w:vAlign w:val="top"/>
          </w:tcPr>
          <w:p>
            <w:r/>
            <w:r>
              <w:rPr>
                <w:rFonts w:ascii="Calibri" w:hAnsi="Calibri"/>
                <w:b w:val="0"/>
                <w:sz w:val="16"/>
              </w:rPr>
              <w:t>L3</w:t>
            </w:r>
          </w:p>
        </w:tc>
        <w:tc>
          <w:tcPr>
            <w:tcW w:type="dxa" w:w="2045"/>
            <w:vAlign w:val="top"/>
          </w:tcPr>
          <w:p>
            <w:r/>
            <w:r>
              <w:rPr>
                <w:rFonts w:ascii="Calibri" w:hAnsi="Calibri"/>
                <w:b w:val="0"/>
                <w:sz w:val="16"/>
              </w:rPr>
              <w:t>Within 1 business hour</w:t>
            </w:r>
          </w:p>
        </w:tc>
        <w:tc>
          <w:tcPr>
            <w:tcW w:type="dxa" w:w="2045"/>
            <w:vAlign w:val="top"/>
          </w:tcPr>
          <w:p>
            <w:r/>
            <w:r>
              <w:rPr>
                <w:rFonts w:ascii="Calibri" w:hAnsi="Calibri"/>
                <w:b w:val="0"/>
                <w:sz w:val="16"/>
              </w:rPr>
              <w:t>Within 4 business hours when customer contact is appropriate</w:t>
            </w:r>
          </w:p>
        </w:tc>
        <w:tc>
          <w:tcPr>
            <w:tcW w:type="dxa" w:w="2045"/>
            <w:vAlign w:val="top"/>
          </w:tcPr>
          <w:p>
            <w:r/>
            <w:r>
              <w:rPr>
                <w:rFonts w:ascii="Calibri" w:hAnsi="Calibri"/>
                <w:b w:val="0"/>
                <w:sz w:val="16"/>
              </w:rPr>
              <w:t>Daily or as agreed by manager</w:t>
            </w:r>
          </w:p>
        </w:tc>
        <w:tc>
          <w:tcPr>
            <w:tcW w:type="dxa" w:w="2045"/>
            <w:vAlign w:val="top"/>
          </w:tcPr>
          <w:p>
            <w:r/>
            <w:r>
              <w:rPr>
                <w:rFonts w:ascii="Calibri" w:hAnsi="Calibri"/>
                <w:b w:val="0"/>
                <w:sz w:val="16"/>
              </w:rPr>
              <w:t>As soon as safely and reasonably possible</w:t>
            </w:r>
          </w:p>
        </w:tc>
      </w:tr>
      <w:tr>
        <w:tc>
          <w:tcPr>
            <w:tcW w:type="dxa" w:w="2045"/>
            <w:vAlign w:val="top"/>
          </w:tcPr>
          <w:p>
            <w:r/>
            <w:r>
              <w:rPr>
                <w:rFonts w:ascii="Calibri" w:hAnsi="Calibri"/>
                <w:b w:val="0"/>
                <w:sz w:val="16"/>
              </w:rPr>
              <w:t>L4</w:t>
            </w:r>
          </w:p>
        </w:tc>
        <w:tc>
          <w:tcPr>
            <w:tcW w:type="dxa" w:w="2045"/>
            <w:vAlign w:val="top"/>
          </w:tcPr>
          <w:p>
            <w:r/>
            <w:r>
              <w:rPr>
                <w:rFonts w:ascii="Calibri" w:hAnsi="Calibri"/>
                <w:b w:val="0"/>
                <w:sz w:val="16"/>
              </w:rPr>
              <w:t>Immediate leadership notification</w:t>
            </w:r>
          </w:p>
        </w:tc>
        <w:tc>
          <w:tcPr>
            <w:tcW w:type="dxa" w:w="2045"/>
            <w:vAlign w:val="top"/>
          </w:tcPr>
          <w:p>
            <w:r/>
            <w:r>
              <w:rPr>
                <w:rFonts w:ascii="Calibri" w:hAnsi="Calibri"/>
                <w:b w:val="0"/>
                <w:sz w:val="16"/>
              </w:rPr>
              <w:t>Controlled by incident lead</w:t>
            </w:r>
          </w:p>
        </w:tc>
        <w:tc>
          <w:tcPr>
            <w:tcW w:type="dxa" w:w="2045"/>
            <w:vAlign w:val="top"/>
          </w:tcPr>
          <w:p>
            <w:r/>
            <w:r>
              <w:rPr>
                <w:rFonts w:ascii="Calibri" w:hAnsi="Calibri"/>
                <w:b w:val="0"/>
                <w:sz w:val="16"/>
              </w:rPr>
              <w:t>Incident cadence</w:t>
            </w:r>
          </w:p>
        </w:tc>
        <w:tc>
          <w:tcPr>
            <w:tcW w:type="dxa" w:w="2045"/>
            <w:vAlign w:val="top"/>
          </w:tcPr>
          <w:p>
            <w:r/>
            <w:r>
              <w:rPr>
                <w:rFonts w:ascii="Calibri" w:hAnsi="Calibri"/>
                <w:b w:val="0"/>
                <w:sz w:val="16"/>
              </w:rPr>
              <w:t>Incident-specific timeline</w:t>
            </w:r>
          </w:p>
        </w:tc>
      </w:tr>
    </w:tbl>
    <w:p/>
    <w:p>
      <w:pPr>
        <w:pStyle w:val="ListBullet"/>
      </w:pPr>
      <w:r>
        <w:t>The escalation owner must update the ticket before the SLA expires, even when the update is “pending external review.”</w:t>
      </w:r>
    </w:p>
    <w:p>
      <w:pPr>
        <w:pStyle w:val="ListBullet"/>
      </w:pPr>
      <w:r>
        <w:t>If the owner will be unavailable, the case must be reassigned or a backup owner must be named.</w:t>
      </w:r>
    </w:p>
    <w:p>
      <w:pPr>
        <w:pStyle w:val="ListBullet"/>
      </w:pPr>
      <w:r>
        <w:t>SLA timers should not be paused unless system rules allow it and the reason is documented, such as waiting for customer evidence.</w:t>
      </w:r>
    </w:p>
    <w:p>
      <w:pPr>
        <w:pStyle w:val="ListBullet"/>
      </w:pPr>
      <w:r>
        <w:t>Repeated SLA misses for the same category should be reviewed as a process improvement issue, not only an individual performance issue.</w:t>
      </w:r>
    </w:p>
    <w:p>
      <w:pPr>
        <w:pStyle w:val="Heading1"/>
      </w:pPr>
      <w:r>
        <w:t>14. Documentation, Evidence, and Handoffs</w:t>
      </w:r>
    </w:p>
    <w:p>
      <w:pPr>
        <w:jc w:val="both"/>
      </w:pPr>
      <w:r>
        <w:t>A strong escalation record allows any authorized employee to understand what happened, why the case was escalated, what decision was made, and what still needs to happen. Documentation should be concise but complete. Long copied transcripts without a summary are not adequate. Personal opinions, emotional labels, blame, sarcasm, or unsupported accusations must not be entered into internal notes.</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
              <w:rPr>
                <w:rFonts w:ascii="Calibri" w:hAnsi="Calibri"/>
                <w:b/>
                <w:sz w:val="17"/>
              </w:rPr>
              <w:t>Documentation Element</w:t>
            </w:r>
          </w:p>
        </w:tc>
        <w:tc>
          <w:tcPr>
            <w:tcW w:type="dxa" w:w="5112"/>
            <w:shd w:fill="D9EAF7"/>
            <w:vAlign w:val="center"/>
          </w:tcPr>
          <w:p>
            <w:r/>
            <w:r>
              <w:rPr>
                <w:rFonts w:ascii="Calibri" w:hAnsi="Calibri"/>
                <w:b/>
                <w:sz w:val="17"/>
              </w:rPr>
              <w:t>Required Standard</w:t>
            </w:r>
          </w:p>
        </w:tc>
      </w:tr>
      <w:tr>
        <w:tc>
          <w:tcPr>
            <w:tcW w:type="dxa" w:w="5112"/>
            <w:vAlign w:val="top"/>
          </w:tcPr>
          <w:p>
            <w:r/>
            <w:r>
              <w:rPr>
                <w:rFonts w:ascii="Calibri" w:hAnsi="Calibri"/>
                <w:b w:val="0"/>
                <w:sz w:val="16"/>
              </w:rPr>
              <w:t>Escalation summary</w:t>
            </w:r>
          </w:p>
        </w:tc>
        <w:tc>
          <w:tcPr>
            <w:tcW w:type="dxa" w:w="5112"/>
            <w:vAlign w:val="top"/>
          </w:tcPr>
          <w:p>
            <w:r/>
            <w:r>
              <w:rPr>
                <w:rFonts w:ascii="Calibri" w:hAnsi="Calibri"/>
                <w:b w:val="0"/>
                <w:sz w:val="16"/>
              </w:rPr>
              <w:t>Use issue-impact-facts-actions-risk-next step format.</w:t>
            </w:r>
          </w:p>
        </w:tc>
      </w:tr>
      <w:tr>
        <w:tc>
          <w:tcPr>
            <w:tcW w:type="dxa" w:w="5112"/>
            <w:vAlign w:val="top"/>
          </w:tcPr>
          <w:p>
            <w:r/>
            <w:r>
              <w:rPr>
                <w:rFonts w:ascii="Calibri" w:hAnsi="Calibri"/>
                <w:b w:val="0"/>
                <w:sz w:val="16"/>
              </w:rPr>
              <w:t>Customer impact</w:t>
            </w:r>
          </w:p>
        </w:tc>
        <w:tc>
          <w:tcPr>
            <w:tcW w:type="dxa" w:w="5112"/>
            <w:vAlign w:val="top"/>
          </w:tcPr>
          <w:p>
            <w:r/>
            <w:r>
              <w:rPr>
                <w:rFonts w:ascii="Calibri" w:hAnsi="Calibri"/>
                <w:b w:val="0"/>
                <w:sz w:val="16"/>
              </w:rPr>
              <w:t>Describe practical impact: no access, no delivery, no refund, device unusable, security concern, repeated contact, etc.</w:t>
            </w:r>
          </w:p>
        </w:tc>
      </w:tr>
      <w:tr>
        <w:tc>
          <w:tcPr>
            <w:tcW w:type="dxa" w:w="5112"/>
            <w:vAlign w:val="top"/>
          </w:tcPr>
          <w:p>
            <w:r/>
            <w:r>
              <w:rPr>
                <w:rFonts w:ascii="Calibri" w:hAnsi="Calibri"/>
                <w:b w:val="0"/>
                <w:sz w:val="16"/>
              </w:rPr>
              <w:t>Facts verified</w:t>
            </w:r>
          </w:p>
        </w:tc>
        <w:tc>
          <w:tcPr>
            <w:tcW w:type="dxa" w:w="5112"/>
            <w:vAlign w:val="top"/>
          </w:tcPr>
          <w:p>
            <w:r/>
            <w:r>
              <w:rPr>
                <w:rFonts w:ascii="Calibri" w:hAnsi="Calibri"/>
                <w:b w:val="0"/>
                <w:sz w:val="16"/>
              </w:rPr>
              <w:t>List order, product, tracking, payment, return, diagnostic, or identity facts already verified.</w:t>
            </w:r>
          </w:p>
        </w:tc>
      </w:tr>
      <w:tr>
        <w:tc>
          <w:tcPr>
            <w:tcW w:type="dxa" w:w="5112"/>
            <w:vAlign w:val="top"/>
          </w:tcPr>
          <w:p>
            <w:r/>
            <w:r>
              <w:rPr>
                <w:rFonts w:ascii="Calibri" w:hAnsi="Calibri"/>
                <w:b w:val="0"/>
                <w:sz w:val="16"/>
              </w:rPr>
              <w:t>Evidence attached</w:t>
            </w:r>
          </w:p>
        </w:tc>
        <w:tc>
          <w:tcPr>
            <w:tcW w:type="dxa" w:w="5112"/>
            <w:vAlign w:val="top"/>
          </w:tcPr>
          <w:p>
            <w:r/>
            <w:r>
              <w:rPr>
                <w:rFonts w:ascii="Calibri" w:hAnsi="Calibri"/>
                <w:b w:val="0"/>
                <w:sz w:val="16"/>
              </w:rPr>
              <w:t>Name evidence type and storage location; avoid unnecessary sensitive data.</w:t>
            </w:r>
          </w:p>
        </w:tc>
      </w:tr>
      <w:tr>
        <w:tc>
          <w:tcPr>
            <w:tcW w:type="dxa" w:w="5112"/>
            <w:vAlign w:val="top"/>
          </w:tcPr>
          <w:p>
            <w:r/>
            <w:r>
              <w:rPr>
                <w:rFonts w:ascii="Calibri" w:hAnsi="Calibri"/>
                <w:b w:val="0"/>
                <w:sz w:val="16"/>
              </w:rPr>
              <w:t>Decision rationale</w:t>
            </w:r>
          </w:p>
        </w:tc>
        <w:tc>
          <w:tcPr>
            <w:tcW w:type="dxa" w:w="5112"/>
            <w:vAlign w:val="top"/>
          </w:tcPr>
          <w:p>
            <w:r/>
            <w:r>
              <w:rPr>
                <w:rFonts w:ascii="Calibri" w:hAnsi="Calibri"/>
                <w:b w:val="0"/>
                <w:sz w:val="16"/>
              </w:rPr>
              <w:t>Reference policy, SOP rule, technical finding, risk finding, or approval basis.</w:t>
            </w:r>
          </w:p>
        </w:tc>
      </w:tr>
      <w:tr>
        <w:tc>
          <w:tcPr>
            <w:tcW w:type="dxa" w:w="5112"/>
            <w:vAlign w:val="top"/>
          </w:tcPr>
          <w:p>
            <w:r/>
            <w:r>
              <w:rPr>
                <w:rFonts w:ascii="Calibri" w:hAnsi="Calibri"/>
                <w:b w:val="0"/>
                <w:sz w:val="16"/>
              </w:rPr>
              <w:t>Approvals</w:t>
            </w:r>
          </w:p>
        </w:tc>
        <w:tc>
          <w:tcPr>
            <w:tcW w:type="dxa" w:w="5112"/>
            <w:vAlign w:val="top"/>
          </w:tcPr>
          <w:p>
            <w:r/>
            <w:r>
              <w:rPr>
                <w:rFonts w:ascii="Calibri" w:hAnsi="Calibri"/>
                <w:b w:val="0"/>
                <w:sz w:val="16"/>
              </w:rPr>
              <w:t>Record approver name, role, date, and approved action.</w:t>
            </w:r>
          </w:p>
        </w:tc>
      </w:tr>
      <w:tr>
        <w:tc>
          <w:tcPr>
            <w:tcW w:type="dxa" w:w="5112"/>
            <w:vAlign w:val="top"/>
          </w:tcPr>
          <w:p>
            <w:r/>
            <w:r>
              <w:rPr>
                <w:rFonts w:ascii="Calibri" w:hAnsi="Calibri"/>
                <w:b w:val="0"/>
                <w:sz w:val="16"/>
              </w:rPr>
              <w:t>Customer communication</w:t>
            </w:r>
          </w:p>
        </w:tc>
        <w:tc>
          <w:tcPr>
            <w:tcW w:type="dxa" w:w="5112"/>
            <w:vAlign w:val="top"/>
          </w:tcPr>
          <w:p>
            <w:r/>
            <w:r>
              <w:rPr>
                <w:rFonts w:ascii="Calibri" w:hAnsi="Calibri"/>
                <w:b w:val="0"/>
                <w:sz w:val="16"/>
              </w:rPr>
              <w:t>Summarize message sent and promised next update.</w:t>
            </w:r>
          </w:p>
        </w:tc>
      </w:tr>
      <w:tr>
        <w:tc>
          <w:tcPr>
            <w:tcW w:type="dxa" w:w="5112"/>
            <w:vAlign w:val="top"/>
          </w:tcPr>
          <w:p>
            <w:r/>
            <w:r>
              <w:rPr>
                <w:rFonts w:ascii="Calibri" w:hAnsi="Calibri"/>
                <w:b w:val="0"/>
                <w:sz w:val="16"/>
              </w:rPr>
              <w:t>Closure note</w:t>
            </w:r>
          </w:p>
        </w:tc>
        <w:tc>
          <w:tcPr>
            <w:tcW w:type="dxa" w:w="5112"/>
            <w:vAlign w:val="top"/>
          </w:tcPr>
          <w:p>
            <w:r/>
            <w:r>
              <w:rPr>
                <w:rFonts w:ascii="Calibri" w:hAnsi="Calibri"/>
                <w:b w:val="0"/>
                <w:sz w:val="16"/>
              </w:rPr>
              <w:t>Include final resolution, customer notification, root cause if known, and prevention note.</w:t>
            </w:r>
          </w:p>
        </w:tc>
      </w:tr>
    </w:tbl>
    <w:p/>
    <w:p>
      <w:pPr>
        <w:pStyle w:val="Heading3"/>
      </w:pPr>
      <w:r>
        <w:t>Warm Handoff Flow</w:t>
      </w:r>
    </w:p>
    <w:p>
      <w:pPr>
        <w:pStyle w:val="IntenseQuote"/>
      </w:pPr>
      <w:r>
        <w:t>Current owner summarizes case  -&gt;  Receiving owner confirms acceptance  -&gt;  Customer update is sent if ownership affects timing  -&gt;  Ticket owner field is changed  -&gt;  Prior owner records handoff note  -&gt;  New owner resumes SLA monitoring</w:t>
      </w:r>
    </w:p>
    <w:p>
      <w:pPr>
        <w:pStyle w:val="Heading1"/>
      </w:pPr>
      <w:r>
        <w:t>15. De-Escalation and Closure</w:t>
      </w:r>
    </w:p>
    <w:p>
      <w:pPr>
        <w:jc w:val="both"/>
      </w:pPr>
      <w:r>
        <w:t>De-escalation occurs when the case no longer requires elevated handling. This may happen because the customer accepts a resolution, technical risk is ruled out, the refund is processed, the product is replaced, the privacy workflow is completed, or the issue returns to a routine support step. De-escalation should be deliberate and documented. Do not simply move a case back to the general queue without explaining what changed and what action remains.</w:t>
      </w:r>
    </w:p>
    <w:p>
      <w:pPr>
        <w:jc w:val="both"/>
      </w:pPr>
      <w:r>
        <w:t>A case may be closed only when the resolution is complete or when closure criteria are met. For example, if the customer has not provided required evidence after approved follow-up attempts, the case may be closed as customer non-response according to channel rules. If a refund is approved but not yet processed, the case should not be fully closed unless a linked finance task remains open and ownership is clear.</w:t>
      </w:r>
    </w:p>
    <w:p>
      <w:pPr>
        <w:jc w:val="both"/>
      </w:pPr>
      <w:r>
        <w:t>For sensitive cases, closure may require additional approval. Safety, privacy, security, fraud, legal, executive, or incident-related cases should be closed only after the appropriate owner confirms that required actions, records, and notifications are complete.</w:t>
      </w:r>
    </w:p>
    <w:p>
      <w:pPr>
        <w:pStyle w:val="ListBullet"/>
      </w:pPr>
      <w:r>
        <w:t>Closure note must answer: What was the issue? What facts were verified? What action was taken? What was communicated to the customer? Is any follow-up still open?</w:t>
      </w:r>
    </w:p>
    <w:p>
      <w:pPr>
        <w:pStyle w:val="ListBullet"/>
      </w:pPr>
      <w:r>
        <w:t>Do not close a case solely because an internal team has not responded. Escalate SLA risk instead.</w:t>
      </w:r>
    </w:p>
    <w:p>
      <w:pPr>
        <w:pStyle w:val="ListBullet"/>
      </w:pPr>
      <w:r>
        <w:t>Do not close an escalated customer complaint without a customer-facing update unless the customer has opted out of contact or the case is managed through another approved channel.</w:t>
      </w:r>
    </w:p>
    <w:p>
      <w:pPr>
        <w:pStyle w:val="ListBullet"/>
      </w:pPr>
      <w:r>
        <w:t>When a case reveals a knowledge base gap, create a feedback item before closure or tag the case for content review.</w:t>
      </w:r>
    </w:p>
    <w:p>
      <w:pPr>
        <w:pStyle w:val="Heading1"/>
      </w:pPr>
      <w:r>
        <w:t>16. Quality Assurance, Metrics, and Continuous Improvement</w:t>
      </w:r>
    </w:p>
    <w:p>
      <w:pPr>
        <w:jc w:val="both"/>
      </w:pPr>
      <w:r>
        <w:t>Escalation performance must be measured for both speed and quality. A fast escalation that reaches the wrong team is not a good escalation. A detailed case that misses the SLA is also not acceptable. QA reviews should evaluate whether the escalation trigger was valid, severity was correct, evidence was sufficient, routing was accurate, communication was professional, and the final decision was documented.</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
              <w:rPr>
                <w:rFonts w:ascii="Calibri" w:hAnsi="Calibri"/>
                <w:b/>
                <w:sz w:val="17"/>
              </w:rPr>
              <w:t>Metric</w:t>
            </w:r>
          </w:p>
        </w:tc>
        <w:tc>
          <w:tcPr>
            <w:tcW w:type="dxa" w:w="3408"/>
            <w:shd w:fill="D9EAF7"/>
            <w:vAlign w:val="center"/>
          </w:tcPr>
          <w:p>
            <w:r/>
            <w:r>
              <w:rPr>
                <w:rFonts w:ascii="Calibri" w:hAnsi="Calibri"/>
                <w:b/>
                <w:sz w:val="17"/>
              </w:rPr>
              <w:t>Definition</w:t>
            </w:r>
          </w:p>
        </w:tc>
        <w:tc>
          <w:tcPr>
            <w:tcW w:type="dxa" w:w="3408"/>
            <w:shd w:fill="D9EAF7"/>
            <w:vAlign w:val="center"/>
          </w:tcPr>
          <w:p>
            <w:r/>
            <w:r>
              <w:rPr>
                <w:rFonts w:ascii="Calibri" w:hAnsi="Calibri"/>
                <w:b/>
                <w:sz w:val="17"/>
              </w:rPr>
              <w:t>Use</w:t>
            </w:r>
          </w:p>
        </w:tc>
      </w:tr>
      <w:tr>
        <w:tc>
          <w:tcPr>
            <w:tcW w:type="dxa" w:w="3408"/>
            <w:vAlign w:val="top"/>
          </w:tcPr>
          <w:p>
            <w:r/>
            <w:r>
              <w:rPr>
                <w:rFonts w:ascii="Calibri" w:hAnsi="Calibri"/>
                <w:b w:val="0"/>
                <w:sz w:val="16"/>
              </w:rPr>
              <w:t>Escalation rate</w:t>
            </w:r>
          </w:p>
        </w:tc>
        <w:tc>
          <w:tcPr>
            <w:tcW w:type="dxa" w:w="3408"/>
            <w:vAlign w:val="top"/>
          </w:tcPr>
          <w:p>
            <w:r/>
            <w:r>
              <w:rPr>
                <w:rFonts w:ascii="Calibri" w:hAnsi="Calibri"/>
                <w:b w:val="0"/>
                <w:sz w:val="16"/>
              </w:rPr>
              <w:t>Percentage of total cases escalated by category and channel.</w:t>
            </w:r>
          </w:p>
        </w:tc>
        <w:tc>
          <w:tcPr>
            <w:tcW w:type="dxa" w:w="3408"/>
            <w:vAlign w:val="top"/>
          </w:tcPr>
          <w:p>
            <w:r/>
            <w:r>
              <w:rPr>
                <w:rFonts w:ascii="Calibri" w:hAnsi="Calibri"/>
                <w:b w:val="0"/>
                <w:sz w:val="16"/>
              </w:rPr>
              <w:t>Identifies training gaps, product issues, and policy ambiguity.</w:t>
            </w:r>
          </w:p>
        </w:tc>
      </w:tr>
      <w:tr>
        <w:tc>
          <w:tcPr>
            <w:tcW w:type="dxa" w:w="3408"/>
            <w:vAlign w:val="top"/>
          </w:tcPr>
          <w:p>
            <w:r/>
            <w:r>
              <w:rPr>
                <w:rFonts w:ascii="Calibri" w:hAnsi="Calibri"/>
                <w:b w:val="0"/>
                <w:sz w:val="16"/>
              </w:rPr>
              <w:t>First routing accuracy</w:t>
            </w:r>
          </w:p>
        </w:tc>
        <w:tc>
          <w:tcPr>
            <w:tcW w:type="dxa" w:w="3408"/>
            <w:vAlign w:val="top"/>
          </w:tcPr>
          <w:p>
            <w:r/>
            <w:r>
              <w:rPr>
                <w:rFonts w:ascii="Calibri" w:hAnsi="Calibri"/>
                <w:b w:val="0"/>
                <w:sz w:val="16"/>
              </w:rPr>
              <w:t>Percentage of escalations routed to correct owner on first attempt.</w:t>
            </w:r>
          </w:p>
        </w:tc>
        <w:tc>
          <w:tcPr>
            <w:tcW w:type="dxa" w:w="3408"/>
            <w:vAlign w:val="top"/>
          </w:tcPr>
          <w:p>
            <w:r/>
            <w:r>
              <w:rPr>
                <w:rFonts w:ascii="Calibri" w:hAnsi="Calibri"/>
                <w:b w:val="0"/>
                <w:sz w:val="16"/>
              </w:rPr>
              <w:t>Measures intake and triage quality.</w:t>
            </w:r>
          </w:p>
        </w:tc>
      </w:tr>
      <w:tr>
        <w:tc>
          <w:tcPr>
            <w:tcW w:type="dxa" w:w="3408"/>
            <w:vAlign w:val="top"/>
          </w:tcPr>
          <w:p>
            <w:r/>
            <w:r>
              <w:rPr>
                <w:rFonts w:ascii="Calibri" w:hAnsi="Calibri"/>
                <w:b w:val="0"/>
                <w:sz w:val="16"/>
              </w:rPr>
              <w:t>First action SLA attainment</w:t>
            </w:r>
          </w:p>
        </w:tc>
        <w:tc>
          <w:tcPr>
            <w:tcW w:type="dxa" w:w="3408"/>
            <w:vAlign w:val="top"/>
          </w:tcPr>
          <w:p>
            <w:r/>
            <w:r>
              <w:rPr>
                <w:rFonts w:ascii="Calibri" w:hAnsi="Calibri"/>
                <w:b w:val="0"/>
                <w:sz w:val="16"/>
              </w:rPr>
              <w:t>Percentage of escalations receiving first action within SLA.</w:t>
            </w:r>
          </w:p>
        </w:tc>
        <w:tc>
          <w:tcPr>
            <w:tcW w:type="dxa" w:w="3408"/>
            <w:vAlign w:val="top"/>
          </w:tcPr>
          <w:p>
            <w:r/>
            <w:r>
              <w:rPr>
                <w:rFonts w:ascii="Calibri" w:hAnsi="Calibri"/>
                <w:b w:val="0"/>
                <w:sz w:val="16"/>
              </w:rPr>
              <w:t>Measures queue responsiveness.</w:t>
            </w:r>
          </w:p>
        </w:tc>
      </w:tr>
      <w:tr>
        <w:tc>
          <w:tcPr>
            <w:tcW w:type="dxa" w:w="3408"/>
            <w:vAlign w:val="top"/>
          </w:tcPr>
          <w:p>
            <w:r/>
            <w:r>
              <w:rPr>
                <w:rFonts w:ascii="Calibri" w:hAnsi="Calibri"/>
                <w:b w:val="0"/>
                <w:sz w:val="16"/>
              </w:rPr>
              <w:t>Customer update compliance</w:t>
            </w:r>
          </w:p>
        </w:tc>
        <w:tc>
          <w:tcPr>
            <w:tcW w:type="dxa" w:w="3408"/>
            <w:vAlign w:val="top"/>
          </w:tcPr>
          <w:p>
            <w:r/>
            <w:r>
              <w:rPr>
                <w:rFonts w:ascii="Calibri" w:hAnsi="Calibri"/>
                <w:b w:val="0"/>
                <w:sz w:val="16"/>
              </w:rPr>
              <w:t>Percentage of cases with updates within required cadence.</w:t>
            </w:r>
          </w:p>
        </w:tc>
        <w:tc>
          <w:tcPr>
            <w:tcW w:type="dxa" w:w="3408"/>
            <w:vAlign w:val="top"/>
          </w:tcPr>
          <w:p>
            <w:r/>
            <w:r>
              <w:rPr>
                <w:rFonts w:ascii="Calibri" w:hAnsi="Calibri"/>
                <w:b w:val="0"/>
                <w:sz w:val="16"/>
              </w:rPr>
              <w:t>Prevents silent delays.</w:t>
            </w:r>
          </w:p>
        </w:tc>
      </w:tr>
      <w:tr>
        <w:tc>
          <w:tcPr>
            <w:tcW w:type="dxa" w:w="3408"/>
            <w:vAlign w:val="top"/>
          </w:tcPr>
          <w:p>
            <w:r/>
            <w:r>
              <w:rPr>
                <w:rFonts w:ascii="Calibri" w:hAnsi="Calibri"/>
                <w:b w:val="0"/>
                <w:sz w:val="16"/>
              </w:rPr>
              <w:t>Resolution cycle time</w:t>
            </w:r>
          </w:p>
        </w:tc>
        <w:tc>
          <w:tcPr>
            <w:tcW w:type="dxa" w:w="3408"/>
            <w:vAlign w:val="top"/>
          </w:tcPr>
          <w:p>
            <w:r/>
            <w:r>
              <w:rPr>
                <w:rFonts w:ascii="Calibri" w:hAnsi="Calibri"/>
                <w:b w:val="0"/>
                <w:sz w:val="16"/>
              </w:rPr>
              <w:t>Time from escalation creation to final resolution.</w:t>
            </w:r>
          </w:p>
        </w:tc>
        <w:tc>
          <w:tcPr>
            <w:tcW w:type="dxa" w:w="3408"/>
            <w:vAlign w:val="top"/>
          </w:tcPr>
          <w:p>
            <w:r/>
            <w:r>
              <w:rPr>
                <w:rFonts w:ascii="Calibri" w:hAnsi="Calibri"/>
                <w:b w:val="0"/>
                <w:sz w:val="16"/>
              </w:rPr>
              <w:t>Identifies bottlenecks.</w:t>
            </w:r>
          </w:p>
        </w:tc>
      </w:tr>
      <w:tr>
        <w:tc>
          <w:tcPr>
            <w:tcW w:type="dxa" w:w="3408"/>
            <w:vAlign w:val="top"/>
          </w:tcPr>
          <w:p>
            <w:r/>
            <w:r>
              <w:rPr>
                <w:rFonts w:ascii="Calibri" w:hAnsi="Calibri"/>
                <w:b w:val="0"/>
                <w:sz w:val="16"/>
              </w:rPr>
              <w:t>Reopen rate</w:t>
            </w:r>
          </w:p>
        </w:tc>
        <w:tc>
          <w:tcPr>
            <w:tcW w:type="dxa" w:w="3408"/>
            <w:vAlign w:val="top"/>
          </w:tcPr>
          <w:p>
            <w:r/>
            <w:r>
              <w:rPr>
                <w:rFonts w:ascii="Calibri" w:hAnsi="Calibri"/>
                <w:b w:val="0"/>
                <w:sz w:val="16"/>
              </w:rPr>
              <w:t>Percentage of closed escalations reopened by customer or internal team.</w:t>
            </w:r>
          </w:p>
        </w:tc>
        <w:tc>
          <w:tcPr>
            <w:tcW w:type="dxa" w:w="3408"/>
            <w:vAlign w:val="top"/>
          </w:tcPr>
          <w:p>
            <w:r/>
            <w:r>
              <w:rPr>
                <w:rFonts w:ascii="Calibri" w:hAnsi="Calibri"/>
                <w:b w:val="0"/>
                <w:sz w:val="16"/>
              </w:rPr>
              <w:t>Measures closure quality.</w:t>
            </w:r>
          </w:p>
        </w:tc>
      </w:tr>
      <w:tr>
        <w:tc>
          <w:tcPr>
            <w:tcW w:type="dxa" w:w="3408"/>
            <w:vAlign w:val="top"/>
          </w:tcPr>
          <w:p>
            <w:r/>
            <w:r>
              <w:rPr>
                <w:rFonts w:ascii="Calibri" w:hAnsi="Calibri"/>
                <w:b w:val="0"/>
                <w:sz w:val="16"/>
              </w:rPr>
              <w:t>Exception approval accuracy</w:t>
            </w:r>
          </w:p>
        </w:tc>
        <w:tc>
          <w:tcPr>
            <w:tcW w:type="dxa" w:w="3408"/>
            <w:vAlign w:val="top"/>
          </w:tcPr>
          <w:p>
            <w:r/>
            <w:r>
              <w:rPr>
                <w:rFonts w:ascii="Calibri" w:hAnsi="Calibri"/>
                <w:b w:val="0"/>
                <w:sz w:val="16"/>
              </w:rPr>
              <w:t>Percentage of exceptions with correct authority and rationale.</w:t>
            </w:r>
          </w:p>
        </w:tc>
        <w:tc>
          <w:tcPr>
            <w:tcW w:type="dxa" w:w="3408"/>
            <w:vAlign w:val="top"/>
          </w:tcPr>
          <w:p>
            <w:r/>
            <w:r>
              <w:rPr>
                <w:rFonts w:ascii="Calibri" w:hAnsi="Calibri"/>
                <w:b w:val="0"/>
                <w:sz w:val="16"/>
              </w:rPr>
              <w:t>Supports financial and policy control.</w:t>
            </w:r>
          </w:p>
        </w:tc>
      </w:tr>
      <w:tr>
        <w:tc>
          <w:tcPr>
            <w:tcW w:type="dxa" w:w="3408"/>
            <w:vAlign w:val="top"/>
          </w:tcPr>
          <w:p>
            <w:r/>
            <w:r>
              <w:rPr>
                <w:rFonts w:ascii="Calibri" w:hAnsi="Calibri"/>
                <w:b w:val="0"/>
                <w:sz w:val="16"/>
              </w:rPr>
              <w:t>Root cause trend</w:t>
            </w:r>
          </w:p>
        </w:tc>
        <w:tc>
          <w:tcPr>
            <w:tcW w:type="dxa" w:w="3408"/>
            <w:vAlign w:val="top"/>
          </w:tcPr>
          <w:p>
            <w:r/>
            <w:r>
              <w:rPr>
                <w:rFonts w:ascii="Calibri" w:hAnsi="Calibri"/>
                <w:b w:val="0"/>
                <w:sz w:val="16"/>
              </w:rPr>
              <w:t>Top causes by product, process, carrier, firmware, payment, warehouse, or policy.</w:t>
            </w:r>
          </w:p>
        </w:tc>
        <w:tc>
          <w:tcPr>
            <w:tcW w:type="dxa" w:w="3408"/>
            <w:vAlign w:val="top"/>
          </w:tcPr>
          <w:p>
            <w:r/>
            <w:r>
              <w:rPr>
                <w:rFonts w:ascii="Calibri" w:hAnsi="Calibri"/>
                <w:b w:val="0"/>
                <w:sz w:val="16"/>
              </w:rPr>
              <w:t>Feeds continuous improvement.</w:t>
            </w:r>
          </w:p>
        </w:tc>
      </w:tr>
    </w:tbl>
    <w:p/>
    <w:p>
      <w:pPr>
        <w:jc w:val="both"/>
      </w:pPr>
      <w:r>
        <w:t>Operations Excellence should review escalation trends at least monthly. Repeated escalation reasons should produce actions such as knowledge base updates, agent training, product troubleshooting changes, carrier process changes, refund rule clarification, warehouse inspection improvements, firmware issue reporting, or policy updates. The goal is not to eliminate all escalation; the goal is to reserve escalation capacity for issues that genuinely require it and to fix root causes that create avoidable escalations.</w:t>
      </w:r>
    </w:p>
    <w:p>
      <w:pPr>
        <w:pStyle w:val="Heading1"/>
      </w:pPr>
      <w:r>
        <w:t>17. Appendix: Templates and Checklists</w:t>
      </w:r>
    </w:p>
    <w:p>
      <w:pPr>
        <w:pStyle w:val="Heading2"/>
      </w:pPr>
      <w:r>
        <w:t>17.1 Escalation Summary Template</w:t>
      </w:r>
    </w:p>
    <w:p>
      <w:pPr>
        <w:jc w:val="both"/>
      </w:pPr>
      <w:r>
        <w:t>Issue: [one sentence]. Customer impact: [impact]. Verified facts: [order, product, shipment, payment, return, device, identity]. Actions taken: [steps already completed]. Evidence attached: [evidence]. Risk indicators: [safety/privacy/security/financial/legal/reputation]. Customer expectation: [requested outcome]. Requested next step: [what receiving owner should do]. SLA: [severity and due time].</w:t>
      </w:r>
    </w:p>
    <w:p>
      <w:pPr>
        <w:pStyle w:val="Heading2"/>
      </w:pPr>
      <w:r>
        <w:t>17.2 Escalation Readiness Checklist</w:t>
      </w:r>
    </w:p>
    <w:p>
      <w:pPr>
        <w:pStyle w:val="ListBullet"/>
      </w:pPr>
      <w:r>
        <w:t>Customer identity verified according to channel requirements.</w:t>
      </w:r>
    </w:p>
    <w:p>
      <w:pPr>
        <w:pStyle w:val="ListBullet"/>
      </w:pPr>
      <w:r>
        <w:t>Order, product, and issue category confirmed.</w:t>
      </w:r>
    </w:p>
    <w:p>
      <w:pPr>
        <w:pStyle w:val="ListBullet"/>
      </w:pPr>
      <w:r>
        <w:t>Severity and escalation category selected in structured fields.</w:t>
      </w:r>
    </w:p>
    <w:p>
      <w:pPr>
        <w:pStyle w:val="ListBullet"/>
      </w:pPr>
      <w:r>
        <w:t>Escalation summary written in concise format.</w:t>
      </w:r>
    </w:p>
    <w:p>
      <w:pPr>
        <w:pStyle w:val="ListBullet"/>
      </w:pPr>
      <w:r>
        <w:t>Evidence attached or evidence request sent.</w:t>
      </w:r>
    </w:p>
    <w:p>
      <w:pPr>
        <w:pStyle w:val="ListBullet"/>
      </w:pPr>
      <w:r>
        <w:t>Customer was told what happens next and when to expect an update.</w:t>
      </w:r>
    </w:p>
    <w:p>
      <w:pPr>
        <w:pStyle w:val="ListBullet"/>
      </w:pPr>
      <w:r>
        <w:t>Correct queue and owner assigned.</w:t>
      </w:r>
    </w:p>
    <w:p>
      <w:pPr>
        <w:pStyle w:val="ListBullet"/>
      </w:pPr>
      <w:r>
        <w:t>Any approval need, safety risk, privacy risk, or fraud risk is clearly flagged.</w:t>
      </w:r>
    </w:p>
    <w:p>
      <w:pPr>
        <w:pStyle w:val="Heading2"/>
      </w:pPr>
      <w:r>
        <w:t>17.3 Red Flag List</w:t>
      </w:r>
    </w:p>
    <w:p>
      <w:pPr>
        <w:pStyle w:val="ListBullet"/>
      </w:pPr>
      <w:r>
        <w:t>Customer reports injury, fire, smoke, overheating, electrical shock, battery swelling, property damage, or immediate danger.</w:t>
      </w:r>
    </w:p>
    <w:p>
      <w:pPr>
        <w:pStyle w:val="ListBullet"/>
      </w:pPr>
      <w:r>
        <w:t>Customer reports unauthorized access to a camera, smart lock, security system, account, or household member profile.</w:t>
      </w:r>
    </w:p>
    <w:p>
      <w:pPr>
        <w:pStyle w:val="ListBullet"/>
      </w:pPr>
      <w:r>
        <w:t>Customer threatens legal action, regulatory complaint, media coverage, chargeback, or public campaign.</w:t>
      </w:r>
    </w:p>
    <w:p>
      <w:pPr>
        <w:pStyle w:val="ListBullet"/>
      </w:pPr>
      <w:r>
        <w:t>Customer has contacted support repeatedly and received inconsistent answers.</w:t>
      </w:r>
    </w:p>
    <w:p>
      <w:pPr>
        <w:pStyle w:val="ListBullet"/>
      </w:pPr>
      <w:r>
        <w:t>Refund request involves high value, missing return, active chargeback, closed payment method, or repeated refund history.</w:t>
      </w:r>
    </w:p>
    <w:p>
      <w:pPr>
        <w:pStyle w:val="ListBullet"/>
      </w:pPr>
      <w:r>
        <w:t>Warehouse inspection conflicts with customer evidence.</w:t>
      </w:r>
    </w:p>
    <w:p>
      <w:pPr>
        <w:pStyle w:val="ListBullet"/>
      </w:pPr>
      <w:r>
        <w:t>Multiple customers report the same device failure after a firmware update or app release.</w:t>
      </w:r>
    </w:p>
    <w:p>
      <w:pPr>
        <w:pStyle w:val="ListBullet"/>
      </w:pPr>
      <w:r>
        <w:t>A marketplace, payment provider, carrier, or regulator has opened a formal case.</w:t>
      </w:r>
    </w:p>
    <w:p>
      <w:pPr>
        <w:pStyle w:val="Heading2"/>
      </w:pPr>
      <w:r>
        <w:t>17.4 Manager Review Checklist</w:t>
      </w:r>
    </w:p>
    <w:p>
      <w:pPr>
        <w:pStyle w:val="ListBullet"/>
      </w:pPr>
      <w:r>
        <w:t>Was the escalation necessary and correctly classified?</w:t>
      </w:r>
    </w:p>
    <w:p>
      <w:pPr>
        <w:pStyle w:val="ListBullet"/>
      </w:pPr>
      <w:r>
        <w:t>Was the customer impact understood and documented?</w:t>
      </w:r>
    </w:p>
    <w:p>
      <w:pPr>
        <w:pStyle w:val="ListBullet"/>
      </w:pPr>
      <w:r>
        <w:t>Were policy, technical, financial, and risk rules applied consistently?</w:t>
      </w:r>
    </w:p>
    <w:p>
      <w:pPr>
        <w:pStyle w:val="ListBullet"/>
      </w:pPr>
      <w:r>
        <w:t>Was the resolution within the approver’s authority?</w:t>
      </w:r>
    </w:p>
    <w:p>
      <w:pPr>
        <w:pStyle w:val="ListBullet"/>
      </w:pPr>
      <w:r>
        <w:t>Were customer communications accurate, respectful, and timely?</w:t>
      </w:r>
    </w:p>
    <w:p>
      <w:pPr>
        <w:pStyle w:val="ListBullet"/>
      </w:pPr>
      <w:r>
        <w:t>Is the case ready for closure, or is another owner still responsible for an open action?</w:t>
      </w:r>
    </w:p>
    <w:p>
      <w:pPr>
        <w:pStyle w:val="ListBullet"/>
      </w:pPr>
      <w:r>
        <w:t>Should this case create a training, product, process, carrier, warehouse, or knowledge base improvement item?</w:t>
      </w:r>
    </w:p>
    <w:p>
      <w:pPr>
        <w:pStyle w:val="Heading2"/>
      </w:pPr>
      <w:r>
        <w:t>17.5 Example Escalation Scenarios</w:t>
      </w:r>
    </w:p>
    <w:tbl>
      <w:tblPr>
        <w:tblStyle w:val="TableGrid"/>
        <w:tblW w:type="auto" w:w="0"/>
        <w:jc w:val="center"/>
        <w:tblLook w:firstColumn="1" w:firstRow="1" w:lastColumn="0" w:lastRow="0" w:noHBand="0" w:noVBand="1" w:val="04A0"/>
      </w:tblPr>
      <w:tblGrid>
        <w:gridCol w:w="5112"/>
        <w:gridCol w:w="5112"/>
      </w:tblGrid>
      <w:tr>
        <w:tc>
          <w:tcPr>
            <w:tcW w:type="dxa" w:w="3168"/>
            <w:shd w:fill="D9EAF7"/>
            <w:vAlign w:val="center"/>
          </w:tcPr>
          <w:p>
            <w:r/>
            <w:r>
              <w:rPr>
                <w:rFonts w:ascii="Calibri" w:hAnsi="Calibri"/>
                <w:b/>
                <w:sz w:val="17"/>
              </w:rPr>
              <w:t>Scenario</w:t>
            </w:r>
          </w:p>
        </w:tc>
        <w:tc>
          <w:tcPr>
            <w:tcW w:type="dxa" w:w="6912"/>
            <w:shd w:fill="D9EAF7"/>
            <w:vAlign w:val="center"/>
          </w:tcPr>
          <w:p>
            <w:r/>
            <w:r>
              <w:rPr>
                <w:rFonts w:ascii="Calibri" w:hAnsi="Calibri"/>
                <w:b/>
                <w:sz w:val="17"/>
              </w:rPr>
              <w:t>Required Response</w:t>
            </w:r>
          </w:p>
        </w:tc>
      </w:tr>
      <w:tr>
        <w:tc>
          <w:tcPr>
            <w:tcW w:type="dxa" w:w="3168"/>
            <w:vAlign w:val="top"/>
          </w:tcPr>
          <w:p>
            <w:r/>
            <w:r>
              <w:rPr>
                <w:rFonts w:ascii="Calibri" w:hAnsi="Calibri"/>
                <w:b w:val="0"/>
                <w:sz w:val="16"/>
              </w:rPr>
              <w:t>Smart lock customer is locked out after firmware update</w:t>
            </w:r>
          </w:p>
        </w:tc>
        <w:tc>
          <w:tcPr>
            <w:tcW w:type="dxa" w:w="6912"/>
            <w:vAlign w:val="top"/>
          </w:tcPr>
          <w:p>
            <w:r/>
            <w:r>
              <w:rPr>
                <w:rFonts w:ascii="Calibri" w:hAnsi="Calibri"/>
                <w:b w:val="0"/>
                <w:sz w:val="16"/>
              </w:rPr>
              <w:t>Classify as L3 because home access is affected. Verify account and device, collect firmware/app version, route to technical escalation, send urgent acknowledgement, and notify escalation manager.</w:t>
            </w:r>
          </w:p>
        </w:tc>
      </w:tr>
      <w:tr>
        <w:tc>
          <w:tcPr>
            <w:tcW w:type="dxa" w:w="3168"/>
            <w:vAlign w:val="top"/>
          </w:tcPr>
          <w:p>
            <w:r/>
            <w:r>
              <w:rPr>
                <w:rFonts w:ascii="Calibri" w:hAnsi="Calibri"/>
                <w:b w:val="0"/>
                <w:sz w:val="16"/>
              </w:rPr>
              <w:t>Customer wants refund before warehouse receives returned smart TV</w:t>
            </w:r>
          </w:p>
        </w:tc>
        <w:tc>
          <w:tcPr>
            <w:tcW w:type="dxa" w:w="6912"/>
            <w:vAlign w:val="top"/>
          </w:tcPr>
          <w:p>
            <w:r/>
            <w:r>
              <w:rPr>
                <w:rFonts w:ascii="Calibri" w:hAnsi="Calibri"/>
                <w:b w:val="0"/>
                <w:sz w:val="16"/>
              </w:rPr>
              <w:t>Classify as L2 unless risk indicators require L3. Verify RMA and tracking, check carrier scan, route to returns/logistics, and avoid refund approval until required condition or approved exception is documented.</w:t>
            </w:r>
          </w:p>
        </w:tc>
      </w:tr>
      <w:tr>
        <w:tc>
          <w:tcPr>
            <w:tcW w:type="dxa" w:w="3168"/>
            <w:vAlign w:val="top"/>
          </w:tcPr>
          <w:p>
            <w:r/>
            <w:r>
              <w:rPr>
                <w:rFonts w:ascii="Calibri" w:hAnsi="Calibri"/>
                <w:b w:val="0"/>
                <w:sz w:val="16"/>
              </w:rPr>
              <w:t>Customer says camera recorded unexpectedly</w:t>
            </w:r>
          </w:p>
        </w:tc>
        <w:tc>
          <w:tcPr>
            <w:tcW w:type="dxa" w:w="6912"/>
            <w:vAlign w:val="top"/>
          </w:tcPr>
          <w:p>
            <w:r/>
            <w:r>
              <w:rPr>
                <w:rFonts w:ascii="Calibri" w:hAnsi="Calibri"/>
                <w:b w:val="0"/>
                <w:sz w:val="16"/>
              </w:rPr>
              <w:t>Classify as L3 privacy/security. Move to private channel, collect minimal facts, do not request unrelated footage, route to privacy and technical support, and preserve ticket record.</w:t>
            </w:r>
          </w:p>
        </w:tc>
      </w:tr>
      <w:tr>
        <w:tc>
          <w:tcPr>
            <w:tcW w:type="dxa" w:w="3168"/>
            <w:vAlign w:val="top"/>
          </w:tcPr>
          <w:p>
            <w:r/>
            <w:r>
              <w:rPr>
                <w:rFonts w:ascii="Calibri" w:hAnsi="Calibri"/>
                <w:b w:val="0"/>
                <w:sz w:val="16"/>
              </w:rPr>
              <w:t>Customer posts public complaint about missing robot vacuum delivery</w:t>
            </w:r>
          </w:p>
        </w:tc>
        <w:tc>
          <w:tcPr>
            <w:tcW w:type="dxa" w:w="6912"/>
            <w:vAlign w:val="top"/>
          </w:tcPr>
          <w:p>
            <w:r/>
            <w:r>
              <w:rPr>
                <w:rFonts w:ascii="Calibri" w:hAnsi="Calibri"/>
                <w:b w:val="0"/>
                <w:sz w:val="16"/>
              </w:rPr>
              <w:t>Classify L2 or L3 depending on visibility and value. Acknowledge publicly without personal data, move to private channel, verify tracking and address, and route to logistics escalation.</w:t>
            </w:r>
          </w:p>
        </w:tc>
      </w:tr>
      <w:tr>
        <w:tc>
          <w:tcPr>
            <w:tcW w:type="dxa" w:w="3168"/>
            <w:vAlign w:val="top"/>
          </w:tcPr>
          <w:p>
            <w:r/>
            <w:r>
              <w:rPr>
                <w:rFonts w:ascii="Calibri" w:hAnsi="Calibri"/>
                <w:b w:val="0"/>
                <w:sz w:val="16"/>
              </w:rPr>
              <w:t>Customer reports duplicate charge</w:t>
            </w:r>
          </w:p>
        </w:tc>
        <w:tc>
          <w:tcPr>
            <w:tcW w:type="dxa" w:w="6912"/>
            <w:vAlign w:val="top"/>
          </w:tcPr>
          <w:p>
            <w:r/>
            <w:r>
              <w:rPr>
                <w:rFonts w:ascii="Calibri" w:hAnsi="Calibri"/>
                <w:b w:val="0"/>
                <w:sz w:val="16"/>
              </w:rPr>
              <w:t>Classify L2 finance escalation. Verify PSP records, check prior refunds and chargeback status, route to Finance Operations, and communicate expected payment timing only after validation.</w:t>
            </w:r>
          </w:p>
        </w:tc>
      </w:tr>
    </w:tbl>
    <w:p/>
    <w:p>
      <w:pPr>
        <w:pStyle w:val="Heading1"/>
      </w:pPr>
      <w:r>
        <w:t>Document Use Note</w:t>
      </w:r>
    </w:p>
    <w:p>
      <w:pPr>
        <w:jc w:val="both"/>
      </w:pPr>
      <w:r>
        <w:t>This SOP is intended for internal training, controlled operations, process audits, and retrieval-augmented knowledge base use. It provides a structured escalation framework for smart home e-commerce support teams and should be updated whenever policies, systems, product categories, support channels, approval thresholds, or legal requirements change. Approximate body word count at generation: 3436 words.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AsterSense Smart Home | Internal SOP | Escalation Process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52" w:lineRule="auto"/>
    </w:pPr>
    <w:rPr>
      <w:rFonts w:ascii="Calibri" w:hAnsi="Calibri" w:eastAsia="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