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2807B" w14:textId="77777777" w:rsidR="006C70F5" w:rsidRDefault="009627B4" w:rsidP="006C70F5">
      <w:pPr>
        <w:spacing w:line="560" w:lineRule="exact"/>
        <w:jc w:val="center"/>
        <w:rPr>
          <w:rFonts w:ascii="方正小标宋简体" w:eastAsia="方正小标宋简体" w:hAnsi="宋体" w:cs="宋体"/>
          <w:bCs/>
          <w:color w:val="0C0C0C"/>
          <w:sz w:val="44"/>
          <w:szCs w:val="44"/>
        </w:rPr>
      </w:pPr>
      <w:bookmarkStart w:id="0" w:name="_GoBack"/>
      <w:bookmarkEnd w:id="0"/>
      <w:r>
        <w:rPr>
          <w:rFonts w:ascii="方正小标宋简体" w:eastAsia="方正小标宋简体" w:hAnsi="宋体" w:cs="宋体" w:hint="eastAsia"/>
          <w:bCs/>
          <w:color w:val="0C0C0C"/>
          <w:sz w:val="44"/>
          <w:szCs w:val="44"/>
        </w:rPr>
        <w:t>哈</w:t>
      </w:r>
      <w:r w:rsidRPr="00DA723E">
        <w:rPr>
          <w:rFonts w:ascii="方正小标宋简体" w:eastAsia="方正小标宋简体" w:hAnsi="宋体" w:cs="宋体" w:hint="eastAsia"/>
          <w:bCs/>
          <w:color w:val="0C0C0C"/>
          <w:sz w:val="44"/>
          <w:szCs w:val="44"/>
        </w:rPr>
        <w:t>尔滨工业大学</w:t>
      </w:r>
    </w:p>
    <w:p w14:paraId="44CB7053" w14:textId="434A9A61" w:rsidR="00A078DE" w:rsidRDefault="009627B4" w:rsidP="006C70F5">
      <w:pPr>
        <w:spacing w:line="560" w:lineRule="exact"/>
        <w:jc w:val="center"/>
        <w:rPr>
          <w:rFonts w:ascii="黑体" w:eastAsia="黑体" w:hAnsi="黑体" w:cs="宋体"/>
          <w:bCs/>
          <w:color w:val="0C0C0C"/>
          <w:sz w:val="32"/>
          <w:szCs w:val="32"/>
        </w:rPr>
      </w:pPr>
      <w:r w:rsidRPr="00DA723E">
        <w:rPr>
          <w:rFonts w:ascii="方正小标宋简体" w:eastAsia="方正小标宋简体" w:hAnsi="宋体" w:cs="宋体" w:hint="eastAsia"/>
          <w:bCs/>
          <w:color w:val="0C0C0C"/>
          <w:sz w:val="44"/>
          <w:szCs w:val="44"/>
        </w:rPr>
        <w:t>青年志愿服务</w:t>
      </w:r>
      <w:r>
        <w:rPr>
          <w:rFonts w:ascii="方正小标宋简体" w:eastAsia="方正小标宋简体" w:hAnsi="宋体" w:cs="宋体" w:hint="eastAsia"/>
          <w:bCs/>
          <w:color w:val="0C0C0C"/>
          <w:sz w:val="44"/>
          <w:szCs w:val="44"/>
        </w:rPr>
        <w:t>优秀</w:t>
      </w:r>
      <w:r w:rsidRPr="00DA723E">
        <w:rPr>
          <w:rFonts w:ascii="方正小标宋简体" w:eastAsia="方正小标宋简体" w:hAnsi="宋体" w:cs="宋体" w:hint="eastAsia"/>
          <w:bCs/>
          <w:color w:val="0C0C0C"/>
          <w:sz w:val="44"/>
          <w:szCs w:val="44"/>
        </w:rPr>
        <w:t>项目</w:t>
      </w:r>
      <w:r w:rsidR="006C70F5">
        <w:rPr>
          <w:rFonts w:ascii="方正小标宋简体" w:eastAsia="方正小标宋简体" w:hAnsi="宋体" w:cs="宋体" w:hint="eastAsia"/>
          <w:bCs/>
          <w:color w:val="0C0C0C"/>
          <w:sz w:val="44"/>
          <w:szCs w:val="44"/>
        </w:rPr>
        <w:t>库建设办法</w:t>
      </w:r>
    </w:p>
    <w:p w14:paraId="09BBF04D" w14:textId="09FE6F8D" w:rsidR="009627B4" w:rsidRDefault="009627B4" w:rsidP="006C70F5">
      <w:pPr>
        <w:spacing w:line="560" w:lineRule="exact"/>
        <w:jc w:val="center"/>
        <w:rPr>
          <w:rFonts w:ascii="黑体" w:eastAsia="黑体" w:hAnsi="黑体" w:cs="宋体"/>
          <w:bCs/>
          <w:color w:val="0C0C0C"/>
          <w:sz w:val="32"/>
          <w:szCs w:val="32"/>
        </w:rPr>
      </w:pPr>
    </w:p>
    <w:p w14:paraId="010A22D5" w14:textId="1939AC7D" w:rsidR="009627B4" w:rsidRPr="006C70F5" w:rsidRDefault="006C70F5" w:rsidP="006C70F5">
      <w:pPr>
        <w:spacing w:line="560" w:lineRule="exact"/>
        <w:jc w:val="center"/>
        <w:rPr>
          <w:rFonts w:ascii="黑体" w:eastAsia="黑体" w:hAnsi="黑体" w:cs="宋体"/>
          <w:bCs/>
          <w:color w:val="0C0C0C"/>
          <w:sz w:val="32"/>
          <w:szCs w:val="32"/>
        </w:rPr>
      </w:pPr>
      <w:r>
        <w:rPr>
          <w:rFonts w:ascii="黑体" w:eastAsia="黑体" w:hAnsi="黑体" w:cs="宋体" w:hint="eastAsia"/>
          <w:bCs/>
          <w:color w:val="0C0C0C"/>
          <w:sz w:val="32"/>
          <w:szCs w:val="32"/>
        </w:rPr>
        <w:t xml:space="preserve">第一章 </w:t>
      </w:r>
      <w:r w:rsidR="009627B4" w:rsidRPr="006C70F5">
        <w:rPr>
          <w:rFonts w:ascii="黑体" w:eastAsia="黑体" w:hAnsi="黑体" w:cs="宋体" w:hint="eastAsia"/>
          <w:bCs/>
          <w:color w:val="0C0C0C"/>
          <w:sz w:val="32"/>
          <w:szCs w:val="32"/>
        </w:rPr>
        <w:t>总则</w:t>
      </w:r>
    </w:p>
    <w:p w14:paraId="09952A0F" w14:textId="5DF90E38" w:rsidR="00C5651B" w:rsidRPr="006C70F5" w:rsidRDefault="006C70F5" w:rsidP="006C70F5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  <w:r w:rsidRPr="006C70F5"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第一条</w:t>
      </w:r>
      <w:r w:rsidRPr="006C70F5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 xml:space="preserve"> </w:t>
      </w:r>
      <w:r w:rsidR="00C5651B" w:rsidRPr="006C70F5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为进一步做好哈尔滨工业大学志愿服务优秀项目库建设相关工作，根据《哈尔滨工业大学第一届青年志愿服务项目大赛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暨志愿服务交流会</w:t>
      </w:r>
      <w:r w:rsidR="00C5651B" w:rsidRPr="006C70F5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章程》，特制定本办法。</w:t>
      </w:r>
    </w:p>
    <w:p w14:paraId="7A51F3DF" w14:textId="2B6F1F63" w:rsidR="006C70F5" w:rsidRDefault="006C70F5" w:rsidP="001708A7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第二</w:t>
      </w:r>
      <w:r w:rsidRPr="006C70F5"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条</w:t>
      </w:r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 xml:space="preserve"> </w:t>
      </w:r>
      <w:r w:rsidR="00386AC9" w:rsidRPr="006C70F5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哈尔滨工业大学青年志愿服务优秀项目库</w:t>
      </w:r>
      <w:r w:rsidRPr="006C70F5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（以下简称“优秀项目库”）</w:t>
      </w:r>
      <w:r w:rsidR="00386AC9" w:rsidRPr="006C70F5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建设主要包括项目申报、大赛评审、评估验收、表彰激励等环节，严格依法、依规进行。</w:t>
      </w:r>
    </w:p>
    <w:p w14:paraId="6113E9A9" w14:textId="77777777" w:rsidR="001708A7" w:rsidRPr="001708A7" w:rsidRDefault="001708A7" w:rsidP="001708A7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</w:p>
    <w:p w14:paraId="0DD9F86A" w14:textId="3697C77D" w:rsidR="00386AC9" w:rsidRDefault="006C70F5" w:rsidP="006C70F5">
      <w:pPr>
        <w:spacing w:line="560" w:lineRule="exact"/>
        <w:jc w:val="center"/>
        <w:rPr>
          <w:rFonts w:ascii="黑体" w:eastAsia="黑体" w:hAnsi="黑体" w:cs="宋体"/>
          <w:bCs/>
          <w:color w:val="0C0C0C"/>
          <w:sz w:val="32"/>
          <w:szCs w:val="32"/>
        </w:rPr>
      </w:pPr>
      <w:r>
        <w:rPr>
          <w:rFonts w:ascii="黑体" w:eastAsia="黑体" w:hAnsi="黑体" w:cs="宋体" w:hint="eastAsia"/>
          <w:bCs/>
          <w:color w:val="0C0C0C"/>
          <w:sz w:val="32"/>
          <w:szCs w:val="32"/>
        </w:rPr>
        <w:t xml:space="preserve">第二章 </w:t>
      </w:r>
      <w:r w:rsidR="00386AC9">
        <w:rPr>
          <w:rFonts w:ascii="黑体" w:eastAsia="黑体" w:hAnsi="黑体" w:cs="宋体" w:hint="eastAsia"/>
          <w:bCs/>
          <w:color w:val="0C0C0C"/>
          <w:sz w:val="32"/>
          <w:szCs w:val="32"/>
        </w:rPr>
        <w:t>组织机构和评审机构</w:t>
      </w:r>
    </w:p>
    <w:p w14:paraId="10695A84" w14:textId="172A989F" w:rsidR="00230E84" w:rsidRPr="006C70F5" w:rsidRDefault="006C70F5" w:rsidP="006C70F5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第三</w:t>
      </w:r>
      <w:r w:rsidRPr="006C70F5"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条</w:t>
      </w:r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 xml:space="preserve"> </w:t>
      </w:r>
      <w:r w:rsidR="00386AC9" w:rsidRPr="006C70F5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优秀项目库建设</w:t>
      </w:r>
      <w:r w:rsidR="00230E84" w:rsidRPr="006C70F5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的组织工作由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赛会组委会</w:t>
      </w:r>
      <w:r w:rsidR="00230E84" w:rsidRPr="006C70F5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负责，负责优秀项目库的日常组织实施工作。</w:t>
      </w:r>
    </w:p>
    <w:p w14:paraId="5A7943F1" w14:textId="78688702" w:rsidR="00230E84" w:rsidRDefault="00023B64" w:rsidP="001708A7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第四</w:t>
      </w:r>
      <w:r w:rsidRPr="006C70F5"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条</w:t>
      </w:r>
      <w:r>
        <w:rPr>
          <w:rFonts w:ascii="楷体_GB2312" w:eastAsia="楷体_GB2312" w:hAnsi="仿宋" w:cs="宋体"/>
          <w:bCs/>
          <w:color w:val="0C0C0C"/>
          <w:sz w:val="32"/>
          <w:szCs w:val="32"/>
        </w:rPr>
        <w:t xml:space="preserve"> </w:t>
      </w:r>
      <w:r w:rsidRPr="00023B64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赛会组委会下设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评审小组，负责</w:t>
      </w:r>
      <w:r w:rsidR="00230E84" w:rsidRPr="006C70F5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优秀项目库建设的评审评估工作。</w:t>
      </w:r>
    </w:p>
    <w:p w14:paraId="5D105754" w14:textId="77777777" w:rsidR="001708A7" w:rsidRPr="001708A7" w:rsidRDefault="001708A7" w:rsidP="001708A7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</w:p>
    <w:p w14:paraId="20353A10" w14:textId="68605013" w:rsidR="002D3D90" w:rsidRPr="0029142D" w:rsidRDefault="0029142D" w:rsidP="0029142D">
      <w:pPr>
        <w:spacing w:line="560" w:lineRule="exact"/>
        <w:jc w:val="center"/>
        <w:rPr>
          <w:rFonts w:ascii="黑体" w:eastAsia="黑体" w:hAnsi="黑体" w:cs="宋体"/>
          <w:bCs/>
          <w:color w:val="0C0C0C"/>
          <w:sz w:val="32"/>
          <w:szCs w:val="32"/>
        </w:rPr>
      </w:pPr>
      <w:r>
        <w:rPr>
          <w:rFonts w:ascii="黑体" w:eastAsia="黑体" w:hAnsi="黑体" w:cs="宋体" w:hint="eastAsia"/>
          <w:bCs/>
          <w:color w:val="0C0C0C"/>
          <w:sz w:val="32"/>
          <w:szCs w:val="32"/>
        </w:rPr>
        <w:t xml:space="preserve">第三章 </w:t>
      </w:r>
      <w:r w:rsidR="002D3D90" w:rsidRPr="0029142D">
        <w:rPr>
          <w:rFonts w:ascii="黑体" w:eastAsia="黑体" w:hAnsi="黑体" w:cs="宋体" w:hint="eastAsia"/>
          <w:bCs/>
          <w:color w:val="0C0C0C"/>
          <w:sz w:val="32"/>
          <w:szCs w:val="32"/>
        </w:rPr>
        <w:t>优秀项目库</w:t>
      </w:r>
      <w:r w:rsidR="00461987">
        <w:rPr>
          <w:rFonts w:ascii="黑体" w:eastAsia="黑体" w:hAnsi="黑体" w:cs="宋体" w:hint="eastAsia"/>
          <w:bCs/>
          <w:color w:val="0C0C0C"/>
          <w:sz w:val="32"/>
          <w:szCs w:val="32"/>
        </w:rPr>
        <w:t>的</w:t>
      </w:r>
      <w:r w:rsidR="002D3D90" w:rsidRPr="0029142D">
        <w:rPr>
          <w:rFonts w:ascii="黑体" w:eastAsia="黑体" w:hAnsi="黑体" w:cs="宋体" w:hint="eastAsia"/>
          <w:bCs/>
          <w:color w:val="0C0C0C"/>
          <w:sz w:val="32"/>
          <w:szCs w:val="32"/>
        </w:rPr>
        <w:t>建设</w:t>
      </w:r>
      <w:r w:rsidR="00461987">
        <w:rPr>
          <w:rFonts w:ascii="黑体" w:eastAsia="黑体" w:hAnsi="黑体" w:cs="宋体" w:hint="eastAsia"/>
          <w:bCs/>
          <w:color w:val="0C0C0C"/>
          <w:sz w:val="32"/>
          <w:szCs w:val="32"/>
        </w:rPr>
        <w:t>及评估验收</w:t>
      </w:r>
    </w:p>
    <w:p w14:paraId="7B2FDDEE" w14:textId="1656CCA1" w:rsidR="002D3D90" w:rsidRPr="0029142D" w:rsidRDefault="0029142D" w:rsidP="0029142D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第五</w:t>
      </w:r>
      <w:r w:rsidRPr="006C70F5"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条</w:t>
      </w:r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 xml:space="preserve"> </w:t>
      </w:r>
      <w:r w:rsidR="002D3D90" w:rsidRPr="0029142D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在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项目大赛</w:t>
      </w:r>
      <w:r w:rsidR="002D3D90" w:rsidRPr="0029142D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初赛中遴选出10个项目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及若干优秀方案</w:t>
      </w:r>
      <w:r w:rsidR="002D3D90" w:rsidRPr="0029142D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入围决赛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，并入选</w:t>
      </w:r>
      <w:r w:rsidR="002D3D90" w:rsidRPr="0029142D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优秀项目库。</w:t>
      </w:r>
    </w:p>
    <w:p w14:paraId="70D44E7F" w14:textId="4FEAC358" w:rsidR="002D3D90" w:rsidRPr="0029142D" w:rsidRDefault="00461987" w:rsidP="0029142D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第六</w:t>
      </w:r>
      <w:r w:rsidRPr="006C70F5"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条</w:t>
      </w:r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 xml:space="preserve"> </w:t>
      </w:r>
      <w:r w:rsidRPr="0046198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入库项目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每季度</w:t>
      </w:r>
      <w:r w:rsidR="002D3D90" w:rsidRPr="0029142D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通过入库自查、材料及网络核查、实地调查等方式进行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评估和</w:t>
      </w:r>
      <w:r w:rsidR="002D3D90" w:rsidRPr="0029142D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验收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，对不合格项目组委会将做除名处理</w:t>
      </w:r>
      <w:r w:rsidR="002D3D90" w:rsidRPr="0029142D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。</w:t>
      </w:r>
    </w:p>
    <w:p w14:paraId="15C48BB2" w14:textId="05018D38" w:rsidR="002D3D90" w:rsidRPr="0029142D" w:rsidRDefault="00461987" w:rsidP="0029142D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lastRenderedPageBreak/>
        <w:t>第七</w:t>
      </w:r>
      <w:r w:rsidRPr="006C70F5"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条</w:t>
      </w:r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 xml:space="preserve"> 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入库项目的评估和验收主要通过</w:t>
      </w:r>
      <w:r w:rsidR="002D3D90" w:rsidRPr="0029142D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评审获奖以来，在项目发展、服务效果、组织管理、示范导向和社会评价等方面的提升情况。</w:t>
      </w:r>
    </w:p>
    <w:p w14:paraId="7ABCEE8F" w14:textId="6AE89435" w:rsidR="007F134C" w:rsidRPr="00461987" w:rsidRDefault="00461987" w:rsidP="00461987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（一）</w:t>
      </w:r>
      <w:r w:rsidR="007F134C" w:rsidRPr="0046198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项目发展有提升。项目目标调研论证科学，内容合理，服务方式、服务时间和服务次数安排科学有效，能够持续提供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较多的志愿服务岗位，服务时间认证等管理举措，拓展了志愿参与渠道；</w:t>
      </w:r>
    </w:p>
    <w:p w14:paraId="786718A5" w14:textId="34C10649" w:rsidR="007F134C" w:rsidRPr="00461987" w:rsidRDefault="00461987" w:rsidP="00461987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（二）</w:t>
      </w:r>
      <w:r w:rsidR="007F134C" w:rsidRPr="0046198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服务效果有提升。服务方式和过程具有专业水准，定期开展培训，内容系统丰富，切实提升服务能力。服务活动有明确的受益对象，且确实能够满足其合理需求，对服务对象有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实际的改善或提升。服务有评价反馈机制，能够定期开展受益对象回访、</w:t>
      </w:r>
      <w:r w:rsidR="007F134C" w:rsidRPr="0046198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社会满意度调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查等评估工作，有评估报告，且能体现项目发展变化的有关数据或证明；</w:t>
      </w:r>
    </w:p>
    <w:p w14:paraId="373BDEF6" w14:textId="01D4A354" w:rsidR="007F134C" w:rsidRPr="00461987" w:rsidRDefault="00461987" w:rsidP="00461987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（三）</w:t>
      </w:r>
      <w:r w:rsidR="007F134C" w:rsidRPr="0046198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组织管理有提升。有明确的主管单位，或所属社会组织在有关部门依法登记，组织章程与业主符合，内部制度健全完善，积极推动党团组织建设。财务制度规范，有独立的资金账号或有关组织机构签署了资金账号委托协议，财务收支符合有关规范。有稳定的团队核心，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人员管理有制度有保障有档案。整合社会资源较多，持续发展能力增强；</w:t>
      </w:r>
    </w:p>
    <w:p w14:paraId="746B40E7" w14:textId="25996C48" w:rsidR="007F134C" w:rsidRPr="00461987" w:rsidRDefault="00461987" w:rsidP="00461987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（四）</w:t>
      </w:r>
      <w:r w:rsidR="001A08BC" w:rsidRPr="0046198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示范导向有提升。项目能够为其他志愿服务组织提供咨询，发挥示范带动作用。项目参与人员具有专业服务能力，志愿参与人数和服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务对象人数有明显增长。项目运行机制科学合理，复杂性、可持续性强；</w:t>
      </w:r>
    </w:p>
    <w:p w14:paraId="05B5AABC" w14:textId="3F79BCE1" w:rsidR="001D2E37" w:rsidRDefault="00461987" w:rsidP="001708A7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lastRenderedPageBreak/>
        <w:t>（五）</w:t>
      </w:r>
      <w:r w:rsidR="001A08BC" w:rsidRPr="0046198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社会评价有提升。建立了项目或组织机构的网站、微信公众号或微博等宣传阵地，能够充分借助传统媒体、新媒体定期发布项目信息。项目能够得到上级主管部门、新闻媒体等社会各界的肯定，得到受益对象认可，参与志愿者的高度评价，具有较强的品牌公信力和社会影响力。</w:t>
      </w:r>
    </w:p>
    <w:p w14:paraId="3C4FE645" w14:textId="77777777" w:rsidR="001708A7" w:rsidRPr="001708A7" w:rsidRDefault="001708A7" w:rsidP="001708A7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</w:p>
    <w:p w14:paraId="09330200" w14:textId="00AD9729" w:rsidR="002D3D90" w:rsidRPr="00461987" w:rsidRDefault="00461987" w:rsidP="00461987">
      <w:pPr>
        <w:spacing w:line="560" w:lineRule="exact"/>
        <w:jc w:val="center"/>
        <w:rPr>
          <w:rFonts w:ascii="黑体" w:eastAsia="黑体" w:hAnsi="黑体" w:cs="宋体"/>
          <w:bCs/>
          <w:color w:val="0C0C0C"/>
          <w:sz w:val="32"/>
          <w:szCs w:val="32"/>
        </w:rPr>
      </w:pPr>
      <w:r>
        <w:rPr>
          <w:rFonts w:ascii="黑体" w:eastAsia="黑体" w:hAnsi="黑体" w:cs="宋体" w:hint="eastAsia"/>
          <w:bCs/>
          <w:color w:val="0C0C0C"/>
          <w:sz w:val="32"/>
          <w:szCs w:val="32"/>
        </w:rPr>
        <w:t xml:space="preserve">第四章 </w:t>
      </w:r>
      <w:r w:rsidR="002D3D90" w:rsidRPr="00461987">
        <w:rPr>
          <w:rFonts w:ascii="黑体" w:eastAsia="黑体" w:hAnsi="黑体" w:cs="宋体" w:hint="eastAsia"/>
          <w:bCs/>
          <w:color w:val="0C0C0C"/>
          <w:sz w:val="32"/>
          <w:szCs w:val="32"/>
        </w:rPr>
        <w:t>政策支持</w:t>
      </w:r>
    </w:p>
    <w:p w14:paraId="377190B0" w14:textId="1F96B082" w:rsidR="002D3D90" w:rsidRPr="00461987" w:rsidRDefault="00461987" w:rsidP="00461987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第八</w:t>
      </w:r>
      <w:r w:rsidRPr="006C70F5"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条</w:t>
      </w:r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 xml:space="preserve"> </w:t>
      </w:r>
      <w:r w:rsidR="002D3D90" w:rsidRPr="0046198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学校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将根据优秀程度及评估验收情况，对入库项目</w:t>
      </w:r>
      <w:r w:rsidR="002D3D90" w:rsidRPr="0046198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给予一定程度的财力支持，作为项目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建设</w:t>
      </w:r>
      <w:r w:rsidR="002D3D90" w:rsidRPr="0046198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运营经费。</w:t>
      </w:r>
    </w:p>
    <w:p w14:paraId="3F354486" w14:textId="0FC52754" w:rsidR="002D3D90" w:rsidRPr="00461987" w:rsidRDefault="00461987" w:rsidP="00461987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第九</w:t>
      </w:r>
      <w:r w:rsidRPr="006C70F5"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条</w:t>
      </w:r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 xml:space="preserve"> </w:t>
      </w:r>
      <w:r w:rsidR="001708A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入库</w:t>
      </w:r>
      <w:r w:rsidR="002D3D90" w:rsidRPr="0046198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项目会面向全校进行宣传展示，并且被优先推荐参加中国青年志愿服务项目大赛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及其各级预选赛</w:t>
      </w:r>
      <w:r w:rsidR="002D3D90" w:rsidRPr="0046198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。</w:t>
      </w:r>
    </w:p>
    <w:p w14:paraId="162A5FC0" w14:textId="7E2D8793" w:rsidR="00333D6A" w:rsidRDefault="00333D6A" w:rsidP="006C70F5">
      <w:pPr>
        <w:pStyle w:val="a3"/>
        <w:spacing w:line="560" w:lineRule="exact"/>
        <w:ind w:firstLine="643"/>
        <w:rPr>
          <w:rFonts w:ascii="仿宋" w:eastAsia="仿宋" w:hAnsi="仿宋" w:cs="宋体"/>
          <w:b/>
          <w:color w:val="0C0C0C"/>
          <w:sz w:val="32"/>
          <w:szCs w:val="32"/>
        </w:rPr>
      </w:pPr>
    </w:p>
    <w:p w14:paraId="33B6FD67" w14:textId="0FCCC4A6" w:rsidR="00333D6A" w:rsidRPr="001708A7" w:rsidRDefault="001708A7" w:rsidP="001708A7">
      <w:pPr>
        <w:spacing w:line="560" w:lineRule="exact"/>
        <w:jc w:val="center"/>
        <w:rPr>
          <w:rFonts w:ascii="黑体" w:eastAsia="黑体" w:hAnsi="黑体" w:cs="宋体"/>
          <w:bCs/>
          <w:color w:val="0C0C0C"/>
          <w:sz w:val="32"/>
          <w:szCs w:val="32"/>
        </w:rPr>
      </w:pPr>
      <w:r>
        <w:rPr>
          <w:rFonts w:ascii="黑体" w:eastAsia="黑体" w:hAnsi="黑体" w:cs="宋体" w:hint="eastAsia"/>
          <w:bCs/>
          <w:color w:val="0C0C0C"/>
          <w:sz w:val="32"/>
          <w:szCs w:val="32"/>
        </w:rPr>
        <w:t xml:space="preserve">第五章 </w:t>
      </w:r>
      <w:r w:rsidR="00333D6A" w:rsidRPr="001708A7">
        <w:rPr>
          <w:rFonts w:ascii="黑体" w:eastAsia="黑体" w:hAnsi="黑体" w:cs="宋体" w:hint="eastAsia"/>
          <w:bCs/>
          <w:color w:val="0C0C0C"/>
          <w:sz w:val="32"/>
          <w:szCs w:val="32"/>
        </w:rPr>
        <w:t>附则</w:t>
      </w:r>
    </w:p>
    <w:p w14:paraId="1CE05564" w14:textId="4E24A156" w:rsidR="00333D6A" w:rsidRPr="001708A7" w:rsidRDefault="001708A7" w:rsidP="001708A7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  <w:bookmarkStart w:id="1" w:name="_Hlk2455462"/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第十</w:t>
      </w:r>
      <w:r w:rsidRPr="006C70F5"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条</w:t>
      </w:r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 xml:space="preserve"> </w:t>
      </w:r>
      <w:r w:rsidR="00333D6A" w:rsidRPr="001708A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项目大赛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初赛</w:t>
      </w:r>
      <w:r w:rsidR="00333D6A" w:rsidRPr="001708A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结束后，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将</w:t>
      </w:r>
      <w:r w:rsidR="00333D6A" w:rsidRPr="001708A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对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入库项目进行公示，并保留三天</w:t>
      </w:r>
      <w:r w:rsidR="00333D6A" w:rsidRPr="001708A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的投诉和申诉期。对收到的投诉或申诉，大赛组委会将委托有关单位进行调查。投诉、申诉经调查若属实，视情节给予处置，并进行通报</w:t>
      </w:r>
      <w:bookmarkEnd w:id="1"/>
      <w:r w:rsidR="00333D6A" w:rsidRPr="001708A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。</w:t>
      </w:r>
    </w:p>
    <w:p w14:paraId="2DCCADB3" w14:textId="75F3EA7F" w:rsidR="002D3D90" w:rsidRPr="001708A7" w:rsidRDefault="00873CD3" w:rsidP="001708A7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第十一</w:t>
      </w:r>
      <w:r w:rsidRPr="006C70F5"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条</w:t>
      </w:r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 xml:space="preserve"> </w:t>
      </w:r>
      <w:r w:rsidR="00333D6A" w:rsidRPr="001708A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本办法由</w:t>
      </w:r>
      <w:r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赛会组委会</w:t>
      </w:r>
      <w:r w:rsidR="00333D6A" w:rsidRPr="001708A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负责解释。</w:t>
      </w:r>
    </w:p>
    <w:p w14:paraId="46F80BBD" w14:textId="1DFC9A26" w:rsidR="00333D6A" w:rsidRPr="001708A7" w:rsidRDefault="00873CD3" w:rsidP="001708A7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第十二</w:t>
      </w:r>
      <w:r w:rsidRPr="006C70F5"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>条</w:t>
      </w:r>
      <w:r>
        <w:rPr>
          <w:rFonts w:ascii="楷体_GB2312" w:eastAsia="楷体_GB2312" w:hAnsi="仿宋" w:cs="宋体" w:hint="eastAsia"/>
          <w:bCs/>
          <w:color w:val="0C0C0C"/>
          <w:sz w:val="32"/>
          <w:szCs w:val="32"/>
        </w:rPr>
        <w:t xml:space="preserve"> </w:t>
      </w:r>
      <w:r w:rsidR="00333D6A" w:rsidRPr="001708A7">
        <w:rPr>
          <w:rFonts w:ascii="仿宋_GB2312" w:eastAsia="仿宋_GB2312" w:hAnsi="仿宋" w:cs="宋体" w:hint="eastAsia"/>
          <w:bCs/>
          <w:color w:val="0C0C0C"/>
          <w:sz w:val="32"/>
          <w:szCs w:val="32"/>
        </w:rPr>
        <w:t>本办法自发布之日起生效。</w:t>
      </w:r>
    </w:p>
    <w:p w14:paraId="03433CDF" w14:textId="24371759" w:rsidR="00333D6A" w:rsidRPr="001708A7" w:rsidRDefault="00333D6A" w:rsidP="001708A7">
      <w:pPr>
        <w:pStyle w:val="a3"/>
        <w:spacing w:line="560" w:lineRule="exact"/>
        <w:ind w:firstLine="640"/>
        <w:rPr>
          <w:rFonts w:ascii="仿宋_GB2312" w:eastAsia="仿宋_GB2312" w:hAnsi="仿宋" w:cs="宋体"/>
          <w:bCs/>
          <w:color w:val="0C0C0C"/>
          <w:sz w:val="32"/>
          <w:szCs w:val="32"/>
        </w:rPr>
      </w:pPr>
    </w:p>
    <w:sectPr w:rsidR="00333D6A" w:rsidRPr="001708A7" w:rsidSect="006C70F5">
      <w:pgSz w:w="11906" w:h="16838"/>
      <w:pgMar w:top="2098" w:right="158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F2CCC" w14:textId="77777777" w:rsidR="00343C93" w:rsidRDefault="00343C93" w:rsidP="00885AAF">
      <w:r>
        <w:separator/>
      </w:r>
    </w:p>
  </w:endnote>
  <w:endnote w:type="continuationSeparator" w:id="0">
    <w:p w14:paraId="184087EA" w14:textId="77777777" w:rsidR="00343C93" w:rsidRDefault="00343C93" w:rsidP="0088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Microsoft YaHei UI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CACAF" w14:textId="77777777" w:rsidR="00343C93" w:rsidRDefault="00343C93" w:rsidP="00885AAF">
      <w:r>
        <w:separator/>
      </w:r>
    </w:p>
  </w:footnote>
  <w:footnote w:type="continuationSeparator" w:id="0">
    <w:p w14:paraId="6A066BFB" w14:textId="77777777" w:rsidR="00343C93" w:rsidRDefault="00343C93" w:rsidP="00885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4587"/>
    <w:multiLevelType w:val="hybridMultilevel"/>
    <w:tmpl w:val="9EA0FC00"/>
    <w:lvl w:ilvl="0" w:tplc="41C827CA">
      <w:start w:val="1"/>
      <w:numFmt w:val="japaneseCounting"/>
      <w:lvlText w:val="第%1条"/>
      <w:lvlJc w:val="left"/>
      <w:pPr>
        <w:ind w:left="735" w:hanging="73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124E8"/>
    <w:multiLevelType w:val="hybridMultilevel"/>
    <w:tmpl w:val="2F40F46A"/>
    <w:lvl w:ilvl="0" w:tplc="41C827CA">
      <w:start w:val="1"/>
      <w:numFmt w:val="japaneseCounting"/>
      <w:lvlText w:val="第%1条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2966C3"/>
    <w:multiLevelType w:val="hybridMultilevel"/>
    <w:tmpl w:val="E2C685B0"/>
    <w:lvl w:ilvl="0" w:tplc="AE86DD26">
      <w:start w:val="1"/>
      <w:numFmt w:val="japaneseCounting"/>
      <w:lvlText w:val="第%1章"/>
      <w:lvlJc w:val="left"/>
      <w:pPr>
        <w:ind w:left="1284" w:hanging="1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494D75"/>
    <w:multiLevelType w:val="hybridMultilevel"/>
    <w:tmpl w:val="8CBA642E"/>
    <w:lvl w:ilvl="0" w:tplc="0409000F">
      <w:start w:val="1"/>
      <w:numFmt w:val="decimal"/>
      <w:lvlText w:val="%1."/>
      <w:lvlJc w:val="left"/>
      <w:pPr>
        <w:ind w:left="1764" w:hanging="420"/>
      </w:pPr>
    </w:lvl>
    <w:lvl w:ilvl="1" w:tplc="04090019" w:tentative="1">
      <w:start w:val="1"/>
      <w:numFmt w:val="lowerLetter"/>
      <w:lvlText w:val="%2)"/>
      <w:lvlJc w:val="left"/>
      <w:pPr>
        <w:ind w:left="2184" w:hanging="420"/>
      </w:pPr>
    </w:lvl>
    <w:lvl w:ilvl="2" w:tplc="0409001B" w:tentative="1">
      <w:start w:val="1"/>
      <w:numFmt w:val="lowerRoman"/>
      <w:lvlText w:val="%3."/>
      <w:lvlJc w:val="right"/>
      <w:pPr>
        <w:ind w:left="2604" w:hanging="420"/>
      </w:pPr>
    </w:lvl>
    <w:lvl w:ilvl="3" w:tplc="0409000F" w:tentative="1">
      <w:start w:val="1"/>
      <w:numFmt w:val="decimal"/>
      <w:lvlText w:val="%4."/>
      <w:lvlJc w:val="left"/>
      <w:pPr>
        <w:ind w:left="3024" w:hanging="420"/>
      </w:pPr>
    </w:lvl>
    <w:lvl w:ilvl="4" w:tplc="04090019" w:tentative="1">
      <w:start w:val="1"/>
      <w:numFmt w:val="lowerLetter"/>
      <w:lvlText w:val="%5)"/>
      <w:lvlJc w:val="left"/>
      <w:pPr>
        <w:ind w:left="3444" w:hanging="420"/>
      </w:pPr>
    </w:lvl>
    <w:lvl w:ilvl="5" w:tplc="0409001B" w:tentative="1">
      <w:start w:val="1"/>
      <w:numFmt w:val="lowerRoman"/>
      <w:lvlText w:val="%6."/>
      <w:lvlJc w:val="right"/>
      <w:pPr>
        <w:ind w:left="3864" w:hanging="420"/>
      </w:pPr>
    </w:lvl>
    <w:lvl w:ilvl="6" w:tplc="0409000F" w:tentative="1">
      <w:start w:val="1"/>
      <w:numFmt w:val="decimal"/>
      <w:lvlText w:val="%7."/>
      <w:lvlJc w:val="left"/>
      <w:pPr>
        <w:ind w:left="4284" w:hanging="420"/>
      </w:pPr>
    </w:lvl>
    <w:lvl w:ilvl="7" w:tplc="04090019" w:tentative="1">
      <w:start w:val="1"/>
      <w:numFmt w:val="lowerLetter"/>
      <w:lvlText w:val="%8)"/>
      <w:lvlJc w:val="left"/>
      <w:pPr>
        <w:ind w:left="4704" w:hanging="420"/>
      </w:pPr>
    </w:lvl>
    <w:lvl w:ilvl="8" w:tplc="0409001B" w:tentative="1">
      <w:start w:val="1"/>
      <w:numFmt w:val="lowerRoman"/>
      <w:lvlText w:val="%9."/>
      <w:lvlJc w:val="right"/>
      <w:pPr>
        <w:ind w:left="5124" w:hanging="420"/>
      </w:pPr>
    </w:lvl>
  </w:abstractNum>
  <w:abstractNum w:abstractNumId="4" w15:restartNumberingAfterBreak="0">
    <w:nsid w:val="58922BD2"/>
    <w:multiLevelType w:val="hybridMultilevel"/>
    <w:tmpl w:val="8EBEAFD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594000"/>
    <w:multiLevelType w:val="hybridMultilevel"/>
    <w:tmpl w:val="4DAE796A"/>
    <w:lvl w:ilvl="0" w:tplc="41F6DFA8">
      <w:start w:val="1"/>
      <w:numFmt w:val="japaneseCounting"/>
      <w:lvlText w:val="第%1条"/>
      <w:lvlJc w:val="left"/>
      <w:pPr>
        <w:ind w:left="1344" w:hanging="1344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834CA1"/>
    <w:multiLevelType w:val="hybridMultilevel"/>
    <w:tmpl w:val="11006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DE"/>
    <w:rsid w:val="00023B64"/>
    <w:rsid w:val="001708A7"/>
    <w:rsid w:val="001A08BC"/>
    <w:rsid w:val="001D2E37"/>
    <w:rsid w:val="00230E84"/>
    <w:rsid w:val="0029142D"/>
    <w:rsid w:val="002A0094"/>
    <w:rsid w:val="002D3D90"/>
    <w:rsid w:val="00333D6A"/>
    <w:rsid w:val="00343C93"/>
    <w:rsid w:val="00386AC9"/>
    <w:rsid w:val="00461987"/>
    <w:rsid w:val="006B50C3"/>
    <w:rsid w:val="006C70F5"/>
    <w:rsid w:val="007F134C"/>
    <w:rsid w:val="00831AD8"/>
    <w:rsid w:val="00871698"/>
    <w:rsid w:val="00873CD3"/>
    <w:rsid w:val="00885AAF"/>
    <w:rsid w:val="009627B4"/>
    <w:rsid w:val="00A078DE"/>
    <w:rsid w:val="00A170BD"/>
    <w:rsid w:val="00C5651B"/>
    <w:rsid w:val="00EE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AB0F9"/>
  <w15:chartTrackingRefBased/>
  <w15:docId w15:val="{35879CB5-FE1B-4FBB-ACBD-7B7E50CB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7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30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0E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5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5A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卢生奥</dc:creator>
  <cp:keywords/>
  <dc:description/>
  <cp:lastModifiedBy>卢生奥</cp:lastModifiedBy>
  <cp:revision>16</cp:revision>
  <dcterms:created xsi:type="dcterms:W3CDTF">2019-03-02T12:22:00Z</dcterms:created>
  <dcterms:modified xsi:type="dcterms:W3CDTF">2019-03-03T17:02:00Z</dcterms:modified>
</cp:coreProperties>
</file>