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Times New Roman" w:hAnsi="Times New Roman"/>
          <w:b/>
          <w:sz w:val="30"/>
        </w:rPr>
        <w:t>TIANZE HUANG</w:t>
      </w:r>
    </w:p>
    <w:p>
      <w:pPr>
        <w:spacing w:before="0" w:after="80" w:line="240" w:lineRule="auto"/>
        <w:jc w:val="center"/>
      </w:pPr>
      <w:r>
        <w:rPr>
          <w:rFonts w:ascii="Times New Roman" w:hAnsi="Times New Roman"/>
          <w:sz w:val="19"/>
        </w:rPr>
        <w:t>huangtianze521@outlook.com | linkedin.com/in/tianze-huang | Beijing/Shanghai</w:t>
      </w:r>
    </w:p>
    <w:p>
      <w:pPr>
        <w:spacing w:before="160" w:after="40" w:line="240" w:lineRule="auto"/>
      </w:pPr>
      <w:r>
        <w:rPr>
          <w:rFonts w:ascii="Times New Roman" w:hAnsi="Times New Roman"/>
          <w:b/>
          <w:sz w:val="23"/>
        </w:rPr>
        <w:t>EDUCATION</w:t>
      </w:r>
    </w:p>
    <w:p>
      <w:pPr>
        <w:spacing w:before="40" w:after="0" w:line="240" w:lineRule="auto"/>
      </w:pPr>
      <w:r>
        <w:rPr>
          <w:rFonts w:ascii="Times New Roman" w:hAnsi="Times New Roman"/>
          <w:b/>
          <w:sz w:val="21"/>
        </w:rPr>
        <w:t>Worcester Polytechnic Institute</w:t>
      </w:r>
      <w:r>
        <w:rPr>
          <w:rFonts w:ascii="Times New Roman" w:hAnsi="Times New Roman"/>
          <w:b w:val="0"/>
          <w:sz w:val="21"/>
        </w:rPr>
        <w:tab/>
        <w:t>Aug 2020 – May 2022</w:t>
      </w:r>
    </w:p>
    <w:p>
      <w:pPr>
        <w:spacing w:before="0" w:after="20" w:line="240" w:lineRule="auto"/>
      </w:pPr>
      <w:r>
        <w:rPr>
          <w:rFonts w:ascii="Times New Roman" w:hAnsi="Times New Roman"/>
          <w:i/>
          <w:sz w:val="20"/>
        </w:rPr>
        <w:t>Master of Science in Information Technology, Business | GPA: 3.83/4.0</w:t>
      </w:r>
      <w:r>
        <w:rPr>
          <w:rFonts w:ascii="Times New Roman" w:hAnsi="Times New Roman"/>
          <w:i/>
          <w:sz w:val="20"/>
        </w:rPr>
        <w:tab/>
        <w:t>Worcester, MA</w:t>
      </w:r>
    </w:p>
    <w:p>
      <w:pPr>
        <w:spacing w:before="60" w:after="0" w:line="240" w:lineRule="auto"/>
      </w:pPr>
      <w:r>
        <w:rPr>
          <w:rFonts w:ascii="Times New Roman" w:hAnsi="Times New Roman"/>
          <w:b/>
          <w:sz w:val="21"/>
        </w:rPr>
        <w:t>Indiana University Bloomington</w:t>
      </w:r>
      <w:r>
        <w:rPr>
          <w:rFonts w:ascii="Times New Roman" w:hAnsi="Times New Roman"/>
          <w:b w:val="0"/>
          <w:sz w:val="21"/>
        </w:rPr>
        <w:tab/>
        <w:t>Aug 2016 – May 2020</w:t>
      </w:r>
    </w:p>
    <w:p>
      <w:pPr>
        <w:spacing w:before="0" w:after="20" w:line="240" w:lineRule="auto"/>
      </w:pPr>
      <w:r>
        <w:rPr>
          <w:rFonts w:ascii="Times New Roman" w:hAnsi="Times New Roman"/>
          <w:i/>
          <w:sz w:val="20"/>
        </w:rPr>
        <w:t>Bachelor of Science in Information Technology</w:t>
      </w:r>
      <w:r>
        <w:rPr>
          <w:rFonts w:ascii="Times New Roman" w:hAnsi="Times New Roman"/>
          <w:i/>
          <w:sz w:val="20"/>
        </w:rPr>
        <w:tab/>
        <w:t>Bloomington, IN</w:t>
      </w:r>
    </w:p>
    <w:p>
      <w:pPr>
        <w:spacing w:before="160" w:after="40" w:line="240" w:lineRule="auto"/>
      </w:pPr>
      <w:r>
        <w:rPr>
          <w:rFonts w:ascii="Times New Roman" w:hAnsi="Times New Roman"/>
          <w:b/>
          <w:sz w:val="23"/>
        </w:rPr>
        <w:t>PROFESSIONAL SKILLS</w:t>
      </w:r>
    </w:p>
    <w:p>
      <w:pPr>
        <w:spacing w:before="20" w:after="0" w:line="240" w:lineRule="auto"/>
      </w:pPr>
      <w:r>
        <w:rPr>
          <w:rFonts w:ascii="Times New Roman" w:hAnsi="Times New Roman"/>
          <w:b/>
          <w:sz w:val="20"/>
        </w:rPr>
        <w:t xml:space="preserve">Program and Process Management: </w:t>
      </w:r>
      <w:r>
        <w:rPr>
          <w:rFonts w:ascii="Times New Roman" w:hAnsi="Times New Roman"/>
          <w:sz w:val="20"/>
        </w:rPr>
        <w:t>End-to-End Program Delivery, Process Optimization, SOP Design, Stakeholder Management, A/B Testing, Cross-Functional Collaboration, Roadmap Development, Six Sigma.</w:t>
      </w:r>
    </w:p>
    <w:p>
      <w:pPr>
        <w:spacing w:before="20" w:after="0" w:line="240" w:lineRule="auto"/>
      </w:pPr>
      <w:r>
        <w:rPr>
          <w:rFonts w:ascii="Times New Roman" w:hAnsi="Times New Roman"/>
          <w:b/>
          <w:sz w:val="20"/>
        </w:rPr>
        <w:t xml:space="preserve">Search and Merchandising Strategy: </w:t>
      </w:r>
      <w:r>
        <w:rPr>
          <w:rFonts w:ascii="Times New Roman" w:hAnsi="Times New Roman"/>
          <w:sz w:val="20"/>
        </w:rPr>
        <w:t>Discoverability Optimization, Click-Through Rate Improvement, Customer Search Journey Analysis, Conversion Funnel Optimization, Category Merchandising, Recommendation System Design.</w:t>
      </w:r>
    </w:p>
    <w:p>
      <w:pPr>
        <w:spacing w:before="20" w:after="0" w:line="240" w:lineRule="auto"/>
      </w:pPr>
      <w:r>
        <w:rPr>
          <w:rFonts w:ascii="Times New Roman" w:hAnsi="Times New Roman"/>
          <w:b/>
          <w:sz w:val="20"/>
        </w:rPr>
        <w:t xml:space="preserve">Technical and Automation: </w:t>
      </w:r>
      <w:r>
        <w:rPr>
          <w:rFonts w:ascii="Times New Roman" w:hAnsi="Times New Roman"/>
          <w:sz w:val="20"/>
        </w:rPr>
        <w:t>Python, Polars, Pandas, SQL, AI-Assisted Development, Automated Pipeline Architecture, Attribution Modeling, Dashboard Development, Prompt Engineering, GitHub, Jira.</w:t>
      </w:r>
    </w:p>
    <w:p>
      <w:pPr>
        <w:spacing w:before="20" w:after="0" w:line="240" w:lineRule="auto"/>
      </w:pPr>
      <w:r>
        <w:rPr>
          <w:rFonts w:ascii="Times New Roman" w:hAnsi="Times New Roman"/>
          <w:b/>
          <w:sz w:val="20"/>
        </w:rPr>
        <w:t xml:space="preserve">Analytics and Decision Support: </w:t>
      </w:r>
      <w:r>
        <w:rPr>
          <w:rFonts w:ascii="Times New Roman" w:hAnsi="Times New Roman"/>
          <w:sz w:val="20"/>
        </w:rPr>
        <w:t>Root Cause Analysis, Data-Driven Business Recommendations, Interactive Reporting, Causal Inference, Looker, Tableau.</w:t>
      </w:r>
    </w:p>
    <w:p>
      <w:pPr>
        <w:spacing w:before="160" w:after="40" w:line="240" w:lineRule="auto"/>
      </w:pPr>
      <w:r>
        <w:rPr>
          <w:rFonts w:ascii="Times New Roman" w:hAnsi="Times New Roman"/>
          <w:b/>
          <w:sz w:val="23"/>
        </w:rPr>
        <w:t>WORK EXPERIENCE</w:t>
      </w:r>
    </w:p>
    <w:p>
      <w:pPr>
        <w:spacing w:before="40" w:after="0" w:line="240" w:lineRule="auto"/>
      </w:pPr>
      <w:r>
        <w:rPr>
          <w:rFonts w:ascii="Times New Roman" w:hAnsi="Times New Roman"/>
          <w:b/>
          <w:sz w:val="21"/>
        </w:rPr>
        <w:t>Subject Matter Expert - Externalization</w:t>
      </w:r>
      <w:r>
        <w:rPr>
          <w:rFonts w:ascii="Times New Roman" w:hAnsi="Times New Roman"/>
          <w:b w:val="0"/>
          <w:sz w:val="21"/>
        </w:rPr>
        <w:tab/>
        <w:t>Sept 2025 – Present</w:t>
      </w:r>
    </w:p>
    <w:p>
      <w:pPr>
        <w:spacing w:before="0" w:after="20" w:line="240" w:lineRule="auto"/>
      </w:pPr>
      <w:r>
        <w:rPr>
          <w:rFonts w:ascii="Times New Roman" w:hAnsi="Times New Roman"/>
          <w:i/>
          <w:sz w:val="20"/>
        </w:rPr>
        <w:t>Amazon</w:t>
      </w:r>
      <w:r>
        <w:rPr>
          <w:rFonts w:ascii="Times New Roman" w:hAnsi="Times New Roman"/>
          <w:i/>
          <w:sz w:val="20"/>
        </w:rPr>
        <w:tab/>
        <w:t>Beijing, China</w:t>
      </w:r>
    </w:p>
    <w:p>
      <w:pPr>
        <w:spacing w:before="20" w:after="0" w:line="259" w:lineRule="auto"/>
        <w:ind w:left="216" w:hanging="216"/>
      </w:pPr>
      <w:r>
        <w:rPr>
          <w:rFonts w:ascii="Times New Roman" w:hAnsi="Times New Roman"/>
          <w:sz w:val="20"/>
        </w:rPr>
        <w:t>• Owned end-to-end storefront discoverability and conversion optimization for 10 category stores across 14 cross-border LATAM markets. Designed a three-layer merchandising framework spanning category gateway positioning, sub-category search keyword curation, and ASIN-level product selection. Built automated tools through AI-assisted development including a purchase-path attribution engine processing 12 million quarterly search events, reducing manual analysis by over 90%. Delivered $529K annualised GMS increase and identified $3.6M in addressable annual revenue.</w:t>
      </w:r>
    </w:p>
    <w:p>
      <w:pPr>
        <w:spacing w:before="20" w:after="0" w:line="259" w:lineRule="auto"/>
        <w:ind w:left="216" w:hanging="216"/>
      </w:pPr>
      <w:r>
        <w:rPr>
          <w:rFonts w:ascii="Times New Roman" w:hAnsi="Times New Roman"/>
          <w:sz w:val="20"/>
        </w:rPr>
        <w:t>• Launched and scaled a cross-border push notification program from zero across 14 markets in English and Spanish. Designed the full program lifecycle including audience segmentation, bilingual content strategy, automated campaign rotation, and compliance QA. Drove end-to-end delivery from program design through weekly execution, reducing per-campaign operational effort by 80% through process standardization and AI-assisted content automation.</w:t>
      </w:r>
    </w:p>
    <w:p>
      <w:pPr>
        <w:spacing w:before="20" w:after="0" w:line="259" w:lineRule="auto"/>
        <w:ind w:left="216" w:hanging="216"/>
      </w:pPr>
      <w:r>
        <w:rPr>
          <w:rFonts w:ascii="Times New Roman" w:hAnsi="Times New Roman"/>
          <w:sz w:val="20"/>
        </w:rPr>
        <w:t>• Architected a cross-border buyability optimization engine spanning 28 marketplaces with a multi-tier priority scoring model. Unified 9 fragmented manual workflows into a single automated pipeline, projecting $18.8M in annualised OPS recovery within 10K weekly processing constraints.</w:t>
      </w:r>
    </w:p>
    <w:p>
      <w:pPr>
        <w:spacing w:before="20" w:after="0" w:line="259" w:lineRule="auto"/>
        <w:ind w:left="216" w:hanging="216"/>
      </w:pPr>
      <w:r>
        <w:rPr>
          <w:rFonts w:ascii="Times New Roman" w:hAnsi="Times New Roman"/>
          <w:sz w:val="20"/>
        </w:rPr>
        <w:t>• Managed the optimization lifecycle for AI-driven product title localization across 3 million SKUs. Defined evaluation frameworks and scoring rubrics, designed training curriculum and quality calibration for CA annotators, and directed model iteration priorities with Research Analysts. Achieved 92% accuracy, eliminating 100% of manual review at 70% cost reduction.</w:t>
      </w:r>
    </w:p>
    <w:p>
      <w:pPr>
        <w:spacing w:before="120" w:after="0" w:line="240" w:lineRule="auto"/>
      </w:pPr>
      <w:r>
        <w:rPr>
          <w:rFonts w:ascii="Times New Roman" w:hAnsi="Times New Roman"/>
          <w:b/>
          <w:sz w:val="21"/>
        </w:rPr>
        <w:t>Commercial Business Analyst</w:t>
      </w:r>
      <w:r>
        <w:rPr>
          <w:rFonts w:ascii="Times New Roman" w:hAnsi="Times New Roman"/>
          <w:b w:val="0"/>
          <w:sz w:val="21"/>
        </w:rPr>
        <w:tab/>
        <w:t>Feb 2025 – July 2025</w:t>
      </w:r>
    </w:p>
    <w:p>
      <w:pPr>
        <w:spacing w:before="0" w:after="20" w:line="240" w:lineRule="auto"/>
      </w:pPr>
      <w:r>
        <w:rPr>
          <w:rFonts w:ascii="Times New Roman" w:hAnsi="Times New Roman"/>
          <w:i/>
          <w:sz w:val="20"/>
        </w:rPr>
        <w:t>Wayfair LLC.</w:t>
      </w:r>
      <w:r>
        <w:rPr>
          <w:rFonts w:ascii="Times New Roman" w:hAnsi="Times New Roman"/>
          <w:i/>
          <w:sz w:val="20"/>
        </w:rPr>
        <w:tab/>
        <w:t>Shanghai, China</w:t>
      </w:r>
    </w:p>
    <w:p>
      <w:pPr>
        <w:spacing w:before="20" w:after="0" w:line="259" w:lineRule="auto"/>
        <w:ind w:left="216" w:hanging="216"/>
      </w:pPr>
      <w:r>
        <w:rPr>
          <w:rFonts w:ascii="Times New Roman" w:hAnsi="Times New Roman"/>
          <w:sz w:val="20"/>
        </w:rPr>
        <w:t>• Identified and mitigated 70% of a Q3 cost cliff risk by designing a Price Inheritance logic, an automated rule-based fallback for unresponsive suppliers preventing procurement cost spikes. Owned cross-border financial reporting accuracy through root cause analysis, tracing errors across 4 downstream transformations, ensuring 100% metric accuracy.</w:t>
      </w:r>
    </w:p>
    <w:p>
      <w:pPr>
        <w:spacing w:before="20" w:after="0" w:line="259" w:lineRule="auto"/>
        <w:ind w:left="216" w:hanging="216"/>
      </w:pPr>
      <w:r>
        <w:rPr>
          <w:rFonts w:ascii="Times New Roman" w:hAnsi="Times New Roman"/>
          <w:sz w:val="20"/>
        </w:rPr>
        <w:t>• Built automated Looker dashboards eliminating 24-hour data latency between international teams, providing daily cost-fluctuation insights for procurement negotiation leverage and enabling data-driven supplier management across the cross-border supply chain.</w:t>
      </w:r>
    </w:p>
    <w:p>
      <w:pPr>
        <w:spacing w:before="120" w:after="0" w:line="240" w:lineRule="auto"/>
      </w:pPr>
      <w:r>
        <w:rPr>
          <w:rFonts w:ascii="Times New Roman" w:hAnsi="Times New Roman"/>
          <w:b/>
          <w:sz w:val="21"/>
        </w:rPr>
        <w:t>Project Manager</w:t>
      </w:r>
      <w:r>
        <w:rPr>
          <w:rFonts w:ascii="Times New Roman" w:hAnsi="Times New Roman"/>
          <w:b w:val="0"/>
          <w:sz w:val="21"/>
        </w:rPr>
        <w:tab/>
        <w:t>Feb 2023 – Dec 2024</w:t>
      </w:r>
    </w:p>
    <w:p>
      <w:pPr>
        <w:spacing w:before="0" w:after="20" w:line="240" w:lineRule="auto"/>
      </w:pPr>
      <w:r>
        <w:rPr>
          <w:rFonts w:ascii="Times New Roman" w:hAnsi="Times New Roman"/>
          <w:i/>
          <w:sz w:val="20"/>
        </w:rPr>
        <w:t>Hexin Machinery USA Inc.</w:t>
      </w:r>
      <w:r>
        <w:rPr>
          <w:rFonts w:ascii="Times New Roman" w:hAnsi="Times New Roman"/>
          <w:i/>
          <w:sz w:val="20"/>
        </w:rPr>
        <w:tab/>
        <w:t>Wixom, MI</w:t>
      </w:r>
    </w:p>
    <w:p>
      <w:pPr>
        <w:spacing w:before="20" w:after="0" w:line="259" w:lineRule="auto"/>
        <w:ind w:left="216" w:hanging="216"/>
      </w:pPr>
      <w:r>
        <w:rPr>
          <w:rFonts w:ascii="Times New Roman" w:hAnsi="Times New Roman"/>
          <w:sz w:val="20"/>
        </w:rPr>
        <w:t>• Led the Automate international trade exhibition on a 1.5 month timeline, coordinating end-to-end logistics, booth construction, and international vendor negotiations. Secured 3 contracts totaling $6M. Built project tracking and cash flow models providing management with decision support for profitability and resource allocation.</w:t>
      </w:r>
    </w:p>
    <w:p>
      <w:pPr>
        <w:spacing w:before="20" w:after="0" w:line="259" w:lineRule="auto"/>
        <w:ind w:left="216" w:hanging="216"/>
      </w:pPr>
      <w:r>
        <w:rPr>
          <w:rFonts w:ascii="Times New Roman" w:hAnsi="Times New Roman"/>
          <w:sz w:val="20"/>
        </w:rPr>
        <w:t>• Directed 5 complex cross-border manufacturing projects between the United States and Mexico with 100% on-time delivery. Identified customs clearance as the primary delay driver through process mapping, established SOPs that reduced shipment delays by 50%.</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