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exact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TIANZE HUANG</w:t>
      </w:r>
    </w:p>
    <w:p>
      <w:pPr>
        <w:spacing w:before="0" w:after="60" w:line="240" w:lineRule="exact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huangtianze521@outlook.com | linkedin.com/in/tianze-huang | Beijing/Shanghai</w:t>
      </w:r>
    </w:p>
    <w:p>
      <w:pPr>
        <w:spacing w:before="100" w:after="40" w:line="240" w:lineRule="exact"/>
        <w:pBdr>
          <w:bottom w:val="single" w:sz="4" w:space="1" w:color="000000"/>
        </w:pBdr>
      </w:pPr>
      <w:r>
        <w:rPr>
          <w:rFonts w:ascii="Times New Roman" w:hAnsi="Times New Roman" w:eastAsia="Times New Roman"/>
          <w:b/>
          <w:i w:val="0"/>
          <w:sz w:val="22"/>
        </w:rPr>
        <w:t>EDUCATION</w:t>
      </w:r>
    </w:p>
    <w:p>
      <w:pPr>
        <w:tabs>
          <w:tab w:pos="10512" w:val="right"/>
        </w:tabs>
        <w:spacing w:before="4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Worcester Polytechnic Institute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Aug 2020 – May 2022</w:t>
      </w:r>
    </w:p>
    <w:p>
      <w:pPr>
        <w:tabs>
          <w:tab w:pos="10512" w:val="right"/>
        </w:tabs>
        <w:spacing w:before="0" w:after="0" w:line="240" w:lineRule="exact"/>
      </w:pPr>
      <w:r>
        <w:rPr>
          <w:rFonts w:ascii="Times New Roman" w:hAnsi="Times New Roman" w:eastAsia="Times New Roman"/>
          <w:b w:val="0"/>
          <w:i w:val="0"/>
          <w:sz w:val="20"/>
        </w:rPr>
        <w:t>Master of Science in Information Technology, Business | GPA: 3.83/4.0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Worcester, MA</w:t>
      </w:r>
    </w:p>
    <w:p>
      <w:pPr>
        <w:tabs>
          <w:tab w:pos="10512" w:val="right"/>
        </w:tabs>
        <w:spacing w:before="4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Indiana University Bloomington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Aug 2016 – May 2020</w:t>
      </w:r>
    </w:p>
    <w:p>
      <w:pPr>
        <w:tabs>
          <w:tab w:pos="10512" w:val="right"/>
        </w:tabs>
        <w:spacing w:before="0" w:after="0" w:line="240" w:lineRule="exact"/>
      </w:pPr>
      <w:r>
        <w:rPr>
          <w:rFonts w:ascii="Times New Roman" w:hAnsi="Times New Roman" w:eastAsia="Times New Roman"/>
          <w:b w:val="0"/>
          <w:i w:val="0"/>
          <w:sz w:val="20"/>
        </w:rPr>
        <w:t>Bachelor of Science in Information Technology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Bloomington, IN</w:t>
      </w:r>
    </w:p>
    <w:p>
      <w:pPr>
        <w:spacing w:before="100" w:after="40" w:line="240" w:lineRule="exact"/>
        <w:pBdr>
          <w:bottom w:val="single" w:sz="4" w:space="1" w:color="000000"/>
        </w:pBdr>
      </w:pPr>
      <w:r>
        <w:rPr>
          <w:rFonts w:ascii="Times New Roman" w:hAnsi="Times New Roman" w:eastAsia="Times New Roman"/>
          <w:b/>
          <w:i w:val="0"/>
          <w:sz w:val="22"/>
        </w:rPr>
        <w:t>PROFESSIONAL SKILLS</w:t>
      </w:r>
    </w:p>
    <w:p>
      <w:pPr>
        <w:spacing w:before="4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 xml:space="preserve">Project &amp; Program Management: </w:t>
      </w:r>
      <w:r>
        <w:rPr>
          <w:rFonts w:ascii="Times New Roman" w:hAnsi="Times New Roman" w:eastAsia="Times New Roman"/>
          <w:b w:val="0"/>
          <w:i w:val="0"/>
          <w:sz w:val="20"/>
        </w:rPr>
        <w:t>Agile &amp; Waterfall, Project Lifecycle Management, E2E Process Design, Stakeholder Management, Change Management, Risk Mitigation, Vendor Negotiation.</w:t>
      </w:r>
    </w:p>
    <w:p>
      <w:pPr>
        <w:spacing w:before="2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 xml:space="preserve">Go-To-Market &amp; Strategy: </w:t>
      </w:r>
      <w:r>
        <w:rPr>
          <w:rFonts w:ascii="Times New Roman" w:hAnsi="Times New Roman" w:eastAsia="Times New Roman"/>
          <w:b w:val="0"/>
          <w:i w:val="0"/>
          <w:sz w:val="20"/>
        </w:rPr>
        <w:t>A/B Testing &amp; Experimentation, Customer Journey Analysis, Funnel Optimization, Causal Inference, Process Improvement.</w:t>
      </w:r>
    </w:p>
    <w:p>
      <w:pPr>
        <w:spacing w:before="2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 xml:space="preserve">Technical &amp; Automation: </w:t>
      </w:r>
      <w:r>
        <w:rPr>
          <w:rFonts w:ascii="Times New Roman" w:hAnsi="Times New Roman" w:eastAsia="Times New Roman"/>
          <w:b w:val="0"/>
          <w:i w:val="0"/>
          <w:sz w:val="20"/>
        </w:rPr>
        <w:t>Python (Pandas, PyArrow, Playwright), SQL (BigQuery/Redshift), Prompt Engineering (Gemini/Claude), Browser Automation, Data Pipeline Design, GitHub, Jira.</w:t>
      </w:r>
    </w:p>
    <w:p>
      <w:pPr>
        <w:spacing w:before="2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 xml:space="preserve">Analytics &amp; Visualization: </w:t>
      </w:r>
      <w:r>
        <w:rPr>
          <w:rFonts w:ascii="Times New Roman" w:hAnsi="Times New Roman" w:eastAsia="Times New Roman"/>
          <w:b w:val="0"/>
          <w:i w:val="0"/>
          <w:sz w:val="20"/>
        </w:rPr>
        <w:t>Root Cause Analysis (RCA), Production-grade Automated HTML Reporting, Looker/Tableau, Advanced Excel Modeling.</w:t>
      </w:r>
    </w:p>
    <w:p>
      <w:pPr>
        <w:spacing w:before="100" w:after="40" w:line="240" w:lineRule="exact"/>
        <w:pBdr>
          <w:bottom w:val="single" w:sz="4" w:space="1" w:color="000000"/>
        </w:pBdr>
      </w:pPr>
      <w:r>
        <w:rPr>
          <w:rFonts w:ascii="Times New Roman" w:hAnsi="Times New Roman" w:eastAsia="Times New Roman"/>
          <w:b/>
          <w:i w:val="0"/>
          <w:sz w:val="22"/>
        </w:rPr>
        <w:t>WORK EXPERIENCE</w:t>
      </w:r>
    </w:p>
    <w:p>
      <w:pPr>
        <w:tabs>
          <w:tab w:pos="10512" w:val="right"/>
        </w:tabs>
        <w:spacing w:before="6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Subject Matter Expert - Externalization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Sept 2025 – Present</w:t>
      </w:r>
    </w:p>
    <w:p>
      <w:pPr>
        <w:tabs>
          <w:tab w:pos="10512" w:val="right"/>
        </w:tabs>
        <w:spacing w:before="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Amazon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Beijing, China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Customer Behavior Analysis &amp; GTM Optimization: </w:t>
      </w:r>
      <w:r>
        <w:rPr>
          <w:rFonts w:ascii="Times New Roman" w:hAnsi="Times New Roman" w:eastAsia="Times New Roman"/>
          <w:b w:val="0"/>
          <w:i w:val="0"/>
          <w:sz w:val="20"/>
        </w:rPr>
        <w:t>Conducted end-to-end customer journey analysis across a 14-market LATAM e-commerce platform (full conversion funnel, per-country consumer segmentation). Identified a structural layout inefficiency costing ~$64K/week through controlled A/B experimentation (2.21× position effect, adjusted for organic growth), and delivered a data-backed layout proposal projecting +$3.35M annualised GMS to senior leadership.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Cross-Border Buyability Optimization: </w:t>
      </w:r>
      <w:r>
        <w:rPr>
          <w:rFonts w:ascii="Times New Roman" w:hAnsi="Times New Roman" w:eastAsia="Times New Roman"/>
          <w:b w:val="0"/>
          <w:i w:val="0"/>
          <w:sz w:val="20"/>
        </w:rPr>
        <w:t>Architected a Target-Country-Centric Inflow Engine with a 5-Tier Priority Scoring Model (35-day OPS, Glance Views, YoY trends across 28 markets). Replaced 9 fragmented manual queries with a unified Global Inflow, maximizing GMS recovery within a 10K/week processing constraint through cross-marketplace overlap — projected to unlock $18.8M in annualised OPS.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AI Model Lifecycle Management (3M+ SKUs): </w:t>
      </w:r>
      <w:r>
        <w:rPr>
          <w:rFonts w:ascii="Times New Roman" w:hAnsi="Times New Roman" w:eastAsia="Times New Roman"/>
          <w:b w:val="0"/>
          <w:i w:val="0"/>
          <w:sz w:val="20"/>
        </w:rPr>
        <w:t>Managed the optimization lifecycle for cross-platform product title localization (Amazon → JD). Defined input rule sets and weekly evaluation frameworks (edge case scoring, bad-case taxonomy), directed iteration cycles with Research Associate — achieving 92% model accuracy, automating 100% of manual review (70% cost reduction).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Analytics Automation &amp; Reporting: </w:t>
      </w:r>
      <w:r>
        <w:rPr>
          <w:rFonts w:ascii="Times New Roman" w:hAnsi="Times New Roman" w:eastAsia="Times New Roman"/>
          <w:b w:val="0"/>
          <w:i w:val="0"/>
          <w:sz w:val="20"/>
        </w:rPr>
        <w:t>Built automated monthly pipelines (Python + AI-assisted tools) replacing multi-day ad-hoc analysis with &lt;5 minute execution. Produced interactive HTML reports (funnel visualizations, before/after comparisons) as the primary leadership decision-support artifact, eliminating slide decks.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Cross-Functional SOP Design &amp; Operations: </w:t>
      </w:r>
      <w:r>
        <w:rPr>
          <w:rFonts w:ascii="Times New Roman" w:hAnsi="Times New Roman" w:eastAsia="Times New Roman"/>
          <w:b w:val="0"/>
          <w:i w:val="0"/>
          <w:sz w:val="20"/>
        </w:rPr>
        <w:t>Authored E2E SOPs for push notification campaigns and troubleshooting workflows. Diagnosed platform failures through systematic RCA, guided development of bulk-processing tools achieving 5× efficiency during peak operations (Double 11).</w:t>
      </w:r>
    </w:p>
    <w:p>
      <w:pPr>
        <w:tabs>
          <w:tab w:pos="10512" w:val="right"/>
        </w:tabs>
        <w:spacing w:before="8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Commercial Business Analyst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Feb 2025 – July 2025</w:t>
      </w:r>
    </w:p>
    <w:p>
      <w:pPr>
        <w:tabs>
          <w:tab w:pos="10512" w:val="right"/>
        </w:tabs>
        <w:spacing w:before="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Wayfair LLC.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Shanghai, China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Strategic Cost Mitigation: </w:t>
      </w:r>
      <w:r>
        <w:rPr>
          <w:rFonts w:ascii="Times New Roman" w:hAnsi="Times New Roman" w:eastAsia="Times New Roman"/>
          <w:b w:val="0"/>
          <w:i w:val="0"/>
          <w:sz w:val="20"/>
        </w:rPr>
        <w:t>Identified and mitigated 70% of a Q3 "cost cliff" risk by designing a Price Inheritance logic — a rule-based automated fallback for unresponsive suppliers preventing procurement cost spikes without manual negotiation.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Data Pipeline Integrity &amp; Decision Support: </w:t>
      </w:r>
      <w:r>
        <w:rPr>
          <w:rFonts w:ascii="Times New Roman" w:hAnsi="Times New Roman" w:eastAsia="Times New Roman"/>
          <w:b w:val="0"/>
          <w:i w:val="0"/>
          <w:sz w:val="20"/>
        </w:rPr>
        <w:t>Owned cross-border financial reporting accuracy through deep-dive RCA (tracing errors across 4 downstream transformations). Built automated Looker dashboards eliminating 24-hour data latency between international teams for daily negotiation leverage.</w:t>
      </w:r>
    </w:p>
    <w:p>
      <w:pPr>
        <w:tabs>
          <w:tab w:pos="10512" w:val="right"/>
        </w:tabs>
        <w:spacing w:before="8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Project Manager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Feb 2023 – Dec 2024</w:t>
      </w:r>
    </w:p>
    <w:p>
      <w:pPr>
        <w:tabs>
          <w:tab w:pos="10512" w:val="right"/>
        </w:tabs>
        <w:spacing w:before="0" w:after="0" w:line="240" w:lineRule="exact"/>
      </w:pPr>
      <w:r>
        <w:rPr>
          <w:rFonts w:ascii="Times New Roman" w:hAnsi="Times New Roman" w:eastAsia="Times New Roman"/>
          <w:b/>
          <w:i w:val="0"/>
          <w:sz w:val="20"/>
        </w:rPr>
        <w:t>Hexin Machinery USA Inc.</w:t>
      </w:r>
      <w:r>
        <w:rPr>
          <w:rFonts w:ascii="Times New Roman" w:hAnsi="Times New Roman" w:eastAsia="Times New Roman"/>
          <w:b w:val="0"/>
          <w:i w:val="0"/>
          <w:sz w:val="20"/>
        </w:rPr>
        <w:tab/>
        <w:t>Wixom, MI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Go-To-Market Exhibition Execution: </w:t>
      </w:r>
      <w:r>
        <w:rPr>
          <w:rFonts w:ascii="Times New Roman" w:hAnsi="Times New Roman" w:eastAsia="Times New Roman"/>
          <w:b w:val="0"/>
          <w:i w:val="0"/>
          <w:sz w:val="20"/>
        </w:rPr>
        <w:t>Led the "Automate" international trade exhibition on a 1.5-month timeline — designed company positioning materials, directed booth construction, coordinated E2E logistics, managed vendor negotiations securing 3 contracts totaling $6M USD.</w:t>
      </w:r>
    </w:p>
    <w:p>
      <w:pPr>
        <w:spacing w:before="20" w:after="0" w:line="240" w:lineRule="exact"/>
        <w:ind w:left="288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● </w:t>
      </w:r>
      <w:r>
        <w:rPr>
          <w:rFonts w:ascii="Times New Roman" w:hAnsi="Times New Roman" w:eastAsia="Times New Roman"/>
          <w:b/>
          <w:i w:val="0"/>
          <w:sz w:val="20"/>
        </w:rPr>
        <w:t xml:space="preserve">Cross-Border Program Management: </w:t>
      </w:r>
      <w:r>
        <w:rPr>
          <w:rFonts w:ascii="Times New Roman" w:hAnsi="Times New Roman" w:eastAsia="Times New Roman"/>
          <w:b w:val="0"/>
          <w:i w:val="0"/>
          <w:sz w:val="20"/>
        </w:rPr>
        <w:t>Directed 5 complex cross-border manufacturing projects (U.S. ↔ Mexico) with 100% on-time delivery. Identified customs clearance as the primary delay driver through process mapping, established SOPs reducing shipment delays by 50%.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exact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