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年青海高考物理真题及答案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767698333"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81079154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5872370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53919902"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47759840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21974361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94061271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636553742"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14090955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194336066"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06506049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500147669"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3826582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47150169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878195961"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07828832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94289945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93046949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043879720"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2021-03-18T12:35:54Z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