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CB06BA">
        <w:rPr>
          <w:rFonts w:ascii="宋体" w:hAnsi="宋体" w:hint="eastAsia"/>
          <w:color w:val="000000"/>
          <w:sz w:val="32"/>
          <w:szCs w:val="32"/>
        </w:rPr>
        <w:t>陕西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81929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81930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81931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81955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81932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81933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81934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81935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81936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81937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81938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81939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81956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81957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81958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81959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81940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81960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81941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81961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715829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81942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81943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81944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81945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81946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81947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81948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81949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81950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81951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81952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81953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81954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359FB" w:rsidRDefault="004359FB" w:rsidP="004359FB">
      <w:r>
        <w:separator/>
      </w:r>
    </w:p>
  </w:endnote>
  <w:endnote w:type="continuationSeparator" w:id="0">
    <w:p w:rsidR="004359FB" w:rsidRDefault="004359FB" w:rsidP="0043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359FB" w:rsidRDefault="004359FB" w:rsidP="004359FB">
      <w:r>
        <w:separator/>
      </w:r>
    </w:p>
  </w:footnote>
  <w:footnote w:type="continuationSeparator" w:id="0">
    <w:p w:rsidR="004359FB" w:rsidRDefault="004359FB" w:rsidP="00435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325367"/>
    <w:rsid w:val="004359FB"/>
    <w:rsid w:val="00457B12"/>
    <w:rsid w:val="004F0128"/>
    <w:rsid w:val="005F63B2"/>
    <w:rsid w:val="00715829"/>
    <w:rsid w:val="00CB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014A6B-8286-4508-A50C-C9F0E7A2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59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9F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9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</cp:coreProperties>
</file>