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2013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分）火星和木星沿各自的椭圆轨道绕太阳运行，根据开普勒行星运动定律可知（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．太阳位于木星运行轨道的中心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．火星和木星绕太阳运行速度的大小始终相等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．火星与木星公转周期之比的平方等于它们轨道半长轴之比的立方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．相同时间内，火星与太阳连线扫过的面积等于木星与太阳连线扫过的面积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分）如图所示，“旋转秋千”中的两个座椅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质量相等，通过相同长度的缆绳悬挂在旋转圆盘上，不考虑空气阻力的影响，当旋转圆盘绕竖直的中心轴匀速转动时，下列说法正确的是（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15085" cy="97091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37" r="-2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的向心加速度大小相等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．悬挂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的缆绳与竖直方向的夹角相等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．悬挂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的缆绳所受的拉力比悬挂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分）下列选项中的各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圆环大小相同，所带电荷量已在图中标出，且电荷均匀分布，各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圆环间彼此绝缘．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坐标原点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处电场强度最大的是（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762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47" r="-4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7994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3" t="-45" r="-43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83756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3" t="-43" r="-4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83756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" t="-43" r="-4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分）在输液时，药液有时会从针口流出体外，为了及时发现，设计了一种报警装置，电路如图所示．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是贴在针口处的传感器，接触到药液时其电阻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发生变化，导致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两端电压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增大，装置发出警报，此时（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61390" cy="81851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7" t="-44" r="-3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变大，且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越大，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变大，且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越小，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变小，且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越大，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变小，且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越小，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分）水平面上，一白球与一静止的灰球碰撞，两球质量相等。碰撞过程的频闪照片如图所示，据此可推断，碰撞过程中系统损失的动能约占碰撞前动能的（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86585" cy="12185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30%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50%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70%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90%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分）将一电荷量为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的小球放在不带电的金属球附近，所形成的电场线分布如图所示，金属球表面的电势处处相等．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为电场中的两点，则（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43660" cy="80899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44" r="-2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点的电势比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．检验电荷﹣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点的电势能比在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．将检验电荷﹣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点移到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点的过程中，电场力做负功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分）如图所示，从地面上同一位置抛出两小球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，分别落在地面上的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点，两球运动的最大高度相同．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空气阻力不计，则（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96060" cy="74295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4" t="-48" r="-2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的加速度比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的飞行时间比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在最高点的速度比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在最高点的大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在落地时的速度比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在落地时的大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分）如图所示，理想变压器原线圈接有交流电源，当副线圈上的滑片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处于图示位置时，灯泡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能发光．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要使灯泡变亮，可以采取的方法有（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18565" cy="82804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0" t="-43" r="-3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．向下滑动</w:t>
      </w:r>
      <w:r>
        <w:rPr>
          <w:rFonts w:eastAsia="新宋体" w:cs="Times New Roman" w:ascii="Times New Roman" w:hAnsi="Times New Roman"/>
          <w:szCs w:val="21"/>
        </w:rPr>
        <w:t>P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．增大交流电源的电压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．增大交流电源的频率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．减小电容器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的电容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分）如图所示，水平桌面上的轻质弹簧一端固定，另一端与小物块相连。弹簧处于自然长度时物块位于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点（图中未标出）。物块的质量为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，物块与桌面间的动摩擦因数为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．现用水平向右的力将物块从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点拉至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点，拉力做的功为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．撤去拉力后物块由静止向左运动，经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点到达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点时速度为零。重力加速度为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。则上述过程中（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34160" cy="323850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11" r="-23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．物块在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点时，弹簧的弹性势能等于</w:t>
      </w:r>
      <w:r>
        <w:rPr>
          <w:rFonts w:eastAsia="新宋体" w:cs="Times New Roman" w:ascii="Times New Roman" w:hAnsi="Times New Roman"/>
          <w:szCs w:val="21"/>
        </w:rPr>
        <w:t>W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．物块在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点时，弹簧的弹性势能小于</w:t>
      </w:r>
      <w:r>
        <w:rPr>
          <w:rFonts w:eastAsia="新宋体" w:cs="Times New Roman" w:ascii="Times New Roman" w:hAnsi="Times New Roman"/>
          <w:szCs w:val="21"/>
        </w:rPr>
        <w:t>W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点时，物块的动能小于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．物块动能最大时弹簧的弹性势能小于物块在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点时弹簧的弹性势能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三、简答题：必做题，请将解答填写在答题卡相应的位置．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分）为探究小灯泡的电功率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和电压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的关系，小明测量小灯泡的电压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和电流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，利用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UI</w:t>
      </w:r>
      <w:r>
        <w:rPr>
          <w:rFonts w:ascii="Times New Roman" w:hAnsi="Times New Roman" w:cs="Times New Roman" w:eastAsia="新宋体"/>
          <w:szCs w:val="21"/>
        </w:rPr>
        <w:t>得到电功率．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实验所使用的小灯泡规格为“</w:t>
      </w:r>
      <w:r>
        <w:rPr>
          <w:rFonts w:eastAsia="新宋体" w:cs="Times New Roman" w:ascii="Times New Roman" w:hAnsi="Times New Roman"/>
          <w:szCs w:val="21"/>
        </w:rPr>
        <w:t>3.0V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1.8W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，电源为</w:t>
      </w:r>
      <w:r>
        <w:rPr>
          <w:rFonts w:eastAsia="新宋体" w:cs="Times New Roman" w:ascii="Times New Roman" w:hAnsi="Times New Roman"/>
          <w:szCs w:val="21"/>
        </w:rPr>
        <w:t>12V</w:t>
      </w:r>
      <w:r>
        <w:rPr>
          <w:rFonts w:ascii="Times New Roman" w:hAnsi="Times New Roman" w:cs="Times New Roman" w:eastAsia="新宋体"/>
          <w:szCs w:val="21"/>
        </w:rPr>
        <w:t>的电池，滑动变阻器的最大阻值为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716780" cy="2124710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）准备使用的实物电路如图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请将滑动变阻器接入电路的正确位置．（用笔画线代替导线）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）现有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的定值电阻，电路中的电阻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应选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的定值电阻．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）测量结束后，应先断开开关，拆除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两端的导线，再拆除其他导线，最后整理好器材．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）小明处理数据后将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描点在坐标纸上，并作出了一条直线，如图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请指出图象中不恰当的地方．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分）某兴趣小组利用自由落体运动测定重力加速度，实验装置如图所示．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倾斜的球槽中放有若干个小铁球，闭合开关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，电磁铁吸住第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个小球．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手动敲击弹性金属片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与触头瞬间分开，第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个小球开始下落，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迅速恢复，电磁铁又吸住第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个小球．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当第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个小球撞击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与触头分开，第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个小球开始下落…．这样，就可测出多个小球下落的总时间．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）在实验中，下列做法正确的有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．电路中的电源只能选用交流电源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．实验前应将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调整到电磁铁的正下方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．用直尺测量电磁铁下端到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的竖直距离作为小球下落的高度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．手动敲击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的同时按下秒表开始计时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）实验测得小球下落的高度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1.980m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个小球下落的总时间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6.5s</w:t>
      </w:r>
      <w:r>
        <w:rPr>
          <w:rFonts w:ascii="Times New Roman" w:hAnsi="Times New Roman" w:cs="Times New Roman" w:eastAsia="新宋体"/>
          <w:szCs w:val="21"/>
        </w:rPr>
        <w:t>．可求出重力加速度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．（结果保留两位有效数字）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）在不增加实验器材的情况下，请提出减小实验误差的两个办法．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）某同学考虑到电磁铁在每次断电后需要时间△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磁性才消失，因此，每个小球的实际下落时间与它的测量时间相差△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，这导致实验误差．为此，他分别取高度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，测量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个小球下落的总时间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他是否可以利用这两组数据消除△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对实验结果的影响？请推导说明．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62760" cy="1448435"/>
            <wp:effectExtent l="0" t="0" r="0" b="0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四．选做题：本题包括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14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三小题，请选定其中两小题，并在相应的答题区域内作答．若多做，则按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两小题评分．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分）如图所示，一定质量的理想气体从状态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依次经过状态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后再回到状态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．其中，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为等温过程，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为绝热过程（气体与外界无热量交换）．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这就是著名的“卡诺循环”．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）该循环过程中，下列说法正确的是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过程中，外界对气体做功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过程中，气体分子的平均动能增大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过程中，单位时间内碰撞单位面积器壁的分子数增多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过程中，气体分子的速率分布曲线不发生变化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）该循环过程中，内能减小的过程是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若气体在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过程中吸收</w:t>
      </w:r>
      <w:r>
        <w:rPr>
          <w:rFonts w:eastAsia="新宋体" w:cs="Times New Roman" w:ascii="Times New Roman" w:hAnsi="Times New Roman"/>
          <w:szCs w:val="21"/>
        </w:rPr>
        <w:t xml:space="preserve">63kJ </w:t>
      </w:r>
      <w:r>
        <w:rPr>
          <w:rFonts w:ascii="Times New Roman" w:hAnsi="Times New Roman" w:cs="Times New Roman" w:eastAsia="新宋体"/>
          <w:szCs w:val="21"/>
        </w:rPr>
        <w:t>的热量，在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过程中放出</w:t>
      </w:r>
      <w:r>
        <w:rPr>
          <w:rFonts w:eastAsia="新宋体" w:cs="Times New Roman" w:ascii="Times New Roman" w:hAnsi="Times New Roman"/>
          <w:szCs w:val="21"/>
        </w:rPr>
        <w:t xml:space="preserve">38kJ </w:t>
      </w:r>
      <w:r>
        <w:rPr>
          <w:rFonts w:ascii="Times New Roman" w:hAnsi="Times New Roman" w:cs="Times New Roman" w:eastAsia="新宋体"/>
          <w:szCs w:val="21"/>
        </w:rPr>
        <w:t>的热量，则气体完成一次循环对外做的功为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kJ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）若该循环过程中的气体为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，气体在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状态时的体积为</w:t>
      </w:r>
      <w:r>
        <w:rPr>
          <w:rFonts w:eastAsia="新宋体" w:cs="Times New Roman" w:ascii="Times New Roman" w:hAnsi="Times New Roman"/>
          <w:szCs w:val="21"/>
        </w:rPr>
        <w:t>10L</w:t>
      </w:r>
      <w:r>
        <w:rPr>
          <w:rFonts w:ascii="Times New Roman" w:hAnsi="Times New Roman" w:cs="Times New Roman" w:eastAsia="新宋体"/>
          <w:szCs w:val="21"/>
        </w:rPr>
        <w:t>，在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状态时压强为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状态时的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8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求气体在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状态时单位体积内的分子数．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（已知阿伏加德罗常数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，计算结果保留一位有效数字）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56640" cy="999490"/>
            <wp:effectExtent l="0" t="0" r="0" b="0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4" t="-36" r="-3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选修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4]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所示的装置，弹簧振子的固有频率是</w:t>
      </w:r>
      <w:r>
        <w:rPr>
          <w:rFonts w:eastAsia="新宋体" w:cs="Times New Roman" w:ascii="Times New Roman" w:hAnsi="Times New Roman"/>
          <w:szCs w:val="21"/>
        </w:rPr>
        <w:t>4Hz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现匀速转动把手，给弹簧振子以周期性的驱动力，测得弹簧振子振动达到稳定时的频率为</w:t>
      </w:r>
      <w:r>
        <w:rPr>
          <w:rFonts w:eastAsia="新宋体" w:cs="Times New Roman" w:ascii="Times New Roman" w:hAnsi="Times New Roman"/>
          <w:szCs w:val="21"/>
        </w:rPr>
        <w:t>1Hz</w:t>
      </w:r>
      <w:r>
        <w:rPr>
          <w:rFonts w:ascii="Times New Roman" w:hAnsi="Times New Roman" w:cs="Times New Roman" w:eastAsia="新宋体"/>
          <w:szCs w:val="21"/>
        </w:rPr>
        <w:t>，则把手转动的频率为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1Hz     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3Hz        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4Hz     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5Hz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所示，两艘飞船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沿同一直线同向飞行，相对地面的速度均为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接近光速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地面上测得它们相距为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测得两飞船间的距离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（选填“大于”、“等于”或“小于”）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发出一光信号，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测得该信号的速度为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为单反照相机取景器的示意图，</w:t>
      </w:r>
      <w:r>
        <w:rPr>
          <w:rFonts w:eastAsia="新宋体" w:cs="Times New Roman" w:ascii="Times New Roman" w:hAnsi="Times New Roman"/>
          <w:szCs w:val="21"/>
        </w:rPr>
        <w:t>ABCDE</w:t>
      </w:r>
      <w:r>
        <w:rPr>
          <w:rFonts w:ascii="Times New Roman" w:hAnsi="Times New Roman" w:cs="Times New Roman" w:eastAsia="新宋体"/>
          <w:szCs w:val="21"/>
        </w:rPr>
        <w:t>为五棱镜的一个截面，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eastAsia="新宋体" w:cs="新宋体" w:ascii="新宋体" w:hAnsi="新宋体"/>
          <w:szCs w:val="21"/>
        </w:rPr>
        <w:t>⊥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光线垂直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射入，分别在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EA</w:t>
      </w:r>
      <w:r>
        <w:rPr>
          <w:rFonts w:ascii="Times New Roman" w:hAnsi="Times New Roman" w:cs="Times New Roman" w:eastAsia="新宋体"/>
          <w:szCs w:val="21"/>
        </w:rPr>
        <w:t>上发生反射，且两次反射的入射角相等，最后光线垂直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射出．若两次反射都为全反射，则该五棱镜折射率的最小值是多少？（计算结果可用三角函数表示）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298565" cy="1943735"/>
            <wp:effectExtent l="0" t="0" r="0" b="0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选修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5]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）如果一个电子的德布罗意波长和一个中子的相等，则它们的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也相等．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．速度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．动能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．动量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．总能量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）根据玻尔原子结构理论，氦离子（</w:t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）的能级图如图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电子处在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轨道上比处在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轨道上离氦核的距离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（选填“近”或“远”）．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当大量</w:t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处在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的激发态时，由于跃迁所发射的谱线有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所示，进行太空行走的宇航员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的质量分别为</w:t>
      </w:r>
      <w:r>
        <w:rPr>
          <w:rFonts w:eastAsia="新宋体" w:cs="Times New Roman" w:ascii="Times New Roman" w:hAnsi="Times New Roman"/>
          <w:szCs w:val="21"/>
        </w:rPr>
        <w:t>80kg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100kg</w:t>
      </w:r>
      <w:r>
        <w:rPr>
          <w:rFonts w:ascii="Times New Roman" w:hAnsi="Times New Roman" w:cs="Times New Roman" w:eastAsia="新宋体"/>
          <w:szCs w:val="21"/>
        </w:rPr>
        <w:t>，他们携手远离空间站，相对空间站的速度为</w:t>
      </w:r>
      <w:r>
        <w:rPr>
          <w:rFonts w:eastAsia="新宋体" w:cs="Times New Roman" w:ascii="Times New Roman" w:hAnsi="Times New Roman"/>
          <w:szCs w:val="21"/>
        </w:rPr>
        <w:t>0.1m/s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将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向空间站方向轻推后，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的速度变为</w:t>
      </w:r>
      <w:r>
        <w:rPr>
          <w:rFonts w:eastAsia="新宋体" w:cs="Times New Roman" w:ascii="Times New Roman" w:hAnsi="Times New Roman"/>
          <w:szCs w:val="21"/>
        </w:rPr>
        <w:t>0.2m/s</w:t>
      </w:r>
      <w:r>
        <w:rPr>
          <w:rFonts w:ascii="Times New Roman" w:hAnsi="Times New Roman" w:cs="Times New Roman" w:eastAsia="新宋体"/>
          <w:szCs w:val="21"/>
        </w:rPr>
        <w:t>，求此时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的速度大小和方向．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459605" cy="1629410"/>
            <wp:effectExtent l="0" t="0" r="0" b="0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分．解答时请写出必要的文字说明、方程式和重要的演算步骤．只写出最后答案的不能得分．有数值计算的题，答案中必须明确写出数值和单位．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分）如图所示，匀强磁场中有一矩形闭合线圈</w:t>
      </w:r>
      <w:r>
        <w:rPr>
          <w:rFonts w:eastAsia="新宋体" w:cs="Times New Roman" w:ascii="Times New Roman" w:hAnsi="Times New Roman"/>
          <w:szCs w:val="21"/>
        </w:rPr>
        <w:t>abcd</w:t>
      </w:r>
      <w:r>
        <w:rPr>
          <w:rFonts w:ascii="Times New Roman" w:hAnsi="Times New Roman" w:cs="Times New Roman" w:eastAsia="新宋体"/>
          <w:szCs w:val="21"/>
        </w:rPr>
        <w:t>，线圈平面与磁场垂直。已知线圈的匝数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ascii="Times New Roman" w:hAnsi="Times New Roman" w:cs="Times New Roman" w:eastAsia="新宋体"/>
          <w:szCs w:val="21"/>
        </w:rPr>
        <w:t>，边长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内从零均匀变化到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内从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均匀变化到﹣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，取垂直纸面向里为磁场的正方向。求：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0.5s</w:t>
      </w:r>
      <w:r>
        <w:rPr>
          <w:rFonts w:ascii="Times New Roman" w:hAnsi="Times New Roman" w:cs="Times New Roman" w:eastAsia="新宋体"/>
          <w:szCs w:val="21"/>
        </w:rPr>
        <w:t>时线圈内感应电动势的大小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和感应电流的方向；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内通过线圈的电荷量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内线圈产生的焦耳热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28065" cy="619125"/>
            <wp:effectExtent l="0" t="0" r="0" b="0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5" t="-58" r="-35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分）如图所示，将小砝码置于桌面上的薄纸板上，用水平向右的拉力将纸板迅速抽出，砝码的移动很小，几乎观察不到，这就是大家熟悉的惯性演示实验。若砝码和纸板的质量分别为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，各接触面间的动摩擦因数均为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）当纸板相对砝码运动时，求纸板所受摩擦力的大小；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）要使纸板相对砝码运动，求所需拉力的大小；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）本实验中，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</w:t>
      </w:r>
      <w:r>
        <w:rPr>
          <w:rFonts w:ascii="Times New Roman" w:hAnsi="Times New Roman" w:cs="Times New Roman" w:eastAsia="新宋体"/>
          <w:szCs w:val="21"/>
        </w:rPr>
        <w:t>，砝码与纸板左端的距离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0.1m</w:t>
      </w:r>
      <w:r>
        <w:rPr>
          <w:rFonts w:ascii="Times New Roman" w:hAnsi="Times New Roman" w:cs="Times New Roman" w:eastAsia="新宋体"/>
          <w:szCs w:val="21"/>
        </w:rPr>
        <w:t>，取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．若砝码移动的距离超过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0.002m</w:t>
      </w:r>
      <w:r>
        <w:rPr>
          <w:rFonts w:ascii="Times New Roman" w:hAnsi="Times New Roman" w:cs="Times New Roman" w:eastAsia="新宋体"/>
          <w:szCs w:val="21"/>
        </w:rPr>
        <w:t>，人眼就能感知。为确保实验成功，纸板所需的拉力至少多大？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29435" cy="875665"/>
            <wp:effectExtent l="0" t="0" r="0" b="0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0" t="-41" r="-2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分）在科学研究中，可以通过施加适当的电场和磁场来实现对带电粒子运动的控制。如图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平面处于匀强电场和匀强磁场中，电场强度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随时间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作周期性变化的图象如图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的正方向，垂直纸面向里为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的正方向。在坐标原点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有一粒子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，其质量和电荷量分别为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．不计重力。在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τ/2</w:t>
      </w:r>
      <w:r>
        <w:rPr>
          <w:rFonts w:ascii="Times New Roman" w:hAnsi="Times New Roman" w:cs="Times New Roman" w:eastAsia="新宋体"/>
          <w:szCs w:val="21"/>
        </w:rPr>
        <w:t>时刻释放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，它恰能沿一定轨道做往复运动。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582670" cy="2315210"/>
            <wp:effectExtent l="0" t="0" r="0" b="0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在磁场中运动时速度的大小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应满足的关系；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τ/2</w:t>
      </w:r>
      <w:r>
        <w:rPr>
          <w:rFonts w:ascii="Times New Roman" w:hAnsi="Times New Roman" w:cs="Times New Roman" w:eastAsia="新宋体"/>
          <w:szCs w:val="21"/>
        </w:rPr>
        <w:t>）时刻释放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，求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速度为零时的坐标。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fontTable" Target="fontTable.xml"/><Relationship Id="rId2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2019-05-06T13:50:00Z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