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jpeg" ContentType="image/jpeg"/>
  <Override PartName="/word/media/image4.jpeg" ContentType="image/jpe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广东</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2021-03-25T17:14:35Z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