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年广西高考理科综合真题及答案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Normal"/>
        <w:jc w:val="center"/>
        <w:rPr/>
      </w:pPr>
      <w:r>
        <w:rPr>
          <w:rFonts w:ascii="宋体;SimSun" w:hAnsi="宋体;SimSun" w:cs="宋体;SimSun"/>
          <w:b/>
          <w:szCs w:val="21"/>
        </w:rPr>
        <w:t>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080" w:right="1080" w:gutter="0" w:header="0" w:top="1440" w:footer="0" w:bottom="1440"/>
      <w:pgNumType w:start="1"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numPr>
        <w:ilvl w:val="2"/>
        <w:numId w:val="1"/>
      </w:numPr>
      <w:jc w:val="center"/>
      <w:outlineLvl w:val="2"/>
    </w:pPr>
    <w:rPr>
      <w:i/>
      <w:iCs/>
      <w:sz w:val="20"/>
    </w:rPr>
  </w:style>
  <w:style w:type="character" w:styleId="WW8Num1z0">
    <w:name w:val="WW8Num1z0"/>
    <w:qFormat/>
    <w:rPr/>
  </w:style>
  <w:style w:type="character" w:styleId="WW8Num2z0">
    <w:name w:val="WW8Num2z0"/>
    <w:qFormat/>
    <w:rPr>
      <w:rFonts w:ascii="宋体;SimSun" w:hAnsi="宋体;SimSun" w:eastAsia="宋体;SimSun" w:cs="Times New Roman"/>
    </w:rPr>
  </w:style>
  <w:style w:type="character" w:styleId="WW8Num2z1">
    <w:name w:val="WW8Num2z1"/>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宋体;SimSun" w:hAnsi="宋体;SimSun" w:eastAsia="宋体;SimSun" w:cs="Times New Roman"/>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rFonts w:ascii="宋体;SimSun" w:hAnsi="宋体;SimSun" w:eastAsia="宋体;SimSun" w:cs="Times New Roman"/>
    </w:rPr>
  </w:style>
  <w:style w:type="character" w:styleId="WW8Num18z1">
    <w:name w:val="WW8Num18z1"/>
    <w:qFormat/>
    <w:rPr>
      <w:rFonts w:ascii="Wingdings" w:hAnsi="Wingdings" w:cs="Wingdings"/>
    </w:rPr>
  </w:style>
  <w:style w:type="character" w:styleId="Style11">
    <w:name w:val="默认段落字体"/>
    <w:qFormat/>
    <w:rPr/>
  </w:style>
  <w:style w:type="character" w:styleId="PageNumber">
    <w:name w:val="Page Number"/>
    <w:basedOn w:val="Style11"/>
    <w:rPr/>
  </w:style>
  <w:style w:type="character" w:styleId="StrongEmphasis">
    <w:name w:val="Strong Emphasis"/>
    <w:basedOn w:val="Style11"/>
    <w:qFormat/>
    <w:rPr>
      <w:b/>
      <w:bCs/>
    </w:rPr>
  </w:style>
  <w:style w:type="character" w:styleId="Style12">
    <w:name w:val="批注引用"/>
    <w:basedOn w:val="Style11"/>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文字"/>
    <w:basedOn w:val="Normal"/>
    <w:qFormat/>
    <w:pPr>
      <w:jc w:val="left"/>
    </w:pPr>
    <w:rPr/>
  </w:style>
  <w:style w:type="paragraph" w:styleId="Style14">
    <w:name w:val="批注主题"/>
    <w:basedOn w:val="Style13"/>
    <w:next w:val="Style13"/>
    <w:qFormat/>
    <w:pPr/>
    <w:rPr>
      <w:b/>
      <w:bCs/>
    </w:rPr>
  </w:style>
  <w:style w:type="paragraph" w:styleId="Style15">
    <w:name w:val="批注框文本"/>
    <w:basedOn w:val="Normal"/>
    <w:qFormat/>
    <w:pPr/>
    <w:rPr>
      <w:sz w:val="18"/>
      <w:szCs w:val="18"/>
    </w:rPr>
  </w:style>
  <w:style w:type="paragraph" w:styleId="TextBodyIndent">
    <w:name w:val="Body Text Indent"/>
    <w:basedOn w:val="Normal"/>
    <w:pPr>
      <w:ind w:firstLine="400"/>
    </w:pPr>
    <w:rPr>
      <w:color w:val="FF0000"/>
      <w:sz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txjy_templates_1.dot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2021-04-30T14:37:00Z</dcterms:created>
  <dc:creator>www.gkstk.com</dc:creator>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keywords>高考试题库</cp:keywords>
  <dc:language>en-US</dc:language>
  <cp:lastModifiedBy>微软用户</cp:lastModifiedBy>
  <dcterms:modified xsi:type="dcterms:W3CDTF">2021-04-30T14:37:00Z</dcterms:modified>
  <cp:revision>3</cp:revision>
  <dc:subject>高考试题库版权所有</dc:subject>
  <dc:title>理综[高考试题库版权所有]</dc:title>
</cp:coreProperties>
</file>