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年宁夏高考理科综合真题及答案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210091456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40682889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402375992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893133918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543112136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483877234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9539942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845236384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2007912536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729599688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419929572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318470408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618991862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84431531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