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2009年普通高等学校招生全国统一考试（安徽卷）</w:t>
      </w:r>
    </w:p>
    <w:p>
      <w:pPr>
        <w:spacing w:line="360" w:lineRule="auto"/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理科综合能力测试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本试卷分第</w:t>
      </w:r>
      <w:r>
        <w:rPr>
          <w:rFonts w:hAnsi="宋体"/>
          <w:sz w:val="24"/>
          <w:szCs w:val="24"/>
        </w:rPr>
        <w:t>Ⅰ</w:t>
      </w:r>
      <w:r>
        <w:rPr>
          <w:sz w:val="24"/>
          <w:szCs w:val="24"/>
        </w:rPr>
        <w:t>卷（选择题）和第</w:t>
      </w:r>
      <w:r>
        <w:rPr>
          <w:rFonts w:hAnsi="宋体"/>
          <w:sz w:val="24"/>
          <w:szCs w:val="24"/>
        </w:rPr>
        <w:t>Ⅱ</w:t>
      </w:r>
      <w:r>
        <w:rPr>
          <w:sz w:val="24"/>
          <w:szCs w:val="24"/>
        </w:rPr>
        <w:t>卷（非选择）两部分，第一卷第1页至第5页，第</w:t>
      </w:r>
      <w:r>
        <w:rPr>
          <w:rFonts w:hAnsi="宋体"/>
          <w:sz w:val="24"/>
          <w:szCs w:val="24"/>
        </w:rPr>
        <w:t>Ⅱ</w:t>
      </w:r>
      <w:r>
        <w:rPr>
          <w:sz w:val="24"/>
          <w:szCs w:val="24"/>
        </w:rPr>
        <w:t>卷第6页至第12页。全卷满分300分。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考生注意事项：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 答题前，务必在试题卷、答题卡规定的地方填写自己的姓名、座位号，并认真核对答题卡上所粘贴的条形码中姓名、座位号与本人姓名、座位号是否一致。务必在答题卡背面规定的地方填写姓名和座位号后两位。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 答第一卷时，每小题选出答案后，用2B铅笔把答题卡上对应题目的答案标号涂黑。如需改动，用橡皮擦干净后，再选涂其他答案标号。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 答第二卷时，必须使用0.5毫米的黑色墨水签字笔在</w:t>
      </w:r>
      <w:r>
        <w:rPr>
          <w:sz w:val="24"/>
          <w:szCs w:val="24"/>
          <w:em w:val="dot"/>
        </w:rPr>
        <w:t>答题卡上</w:t>
      </w:r>
      <w:r>
        <w:rPr>
          <w:sz w:val="24"/>
          <w:szCs w:val="24"/>
        </w:rPr>
        <w:t>书写，要求字体工整、笔迹清晰。作图题可先用铅笔在</w:t>
      </w:r>
      <w:r>
        <w:rPr>
          <w:sz w:val="24"/>
          <w:szCs w:val="24"/>
          <w:em w:val="dot"/>
        </w:rPr>
        <w:t>答题卡</w:t>
      </w:r>
      <w:r>
        <w:rPr>
          <w:sz w:val="24"/>
          <w:szCs w:val="24"/>
        </w:rPr>
        <w:t>规定的位置给出，确认后再用0.5毫米的黑色墨水签字笔描清楚。必须在题号所指示的答题区域作答，</w:t>
      </w:r>
      <w:r>
        <w:rPr>
          <w:sz w:val="24"/>
          <w:szCs w:val="24"/>
          <w:em w:val="dot"/>
        </w:rPr>
        <w:t>超出答题区域书写的答案无效，在试题卷、草稿纸上答题无效</w:t>
      </w:r>
      <w:r>
        <w:rPr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 考试结束，务必将试题卷和答题卡一并上交。</w:t>
      </w:r>
    </w:p>
    <w:p>
      <w:pPr>
        <w:spacing w:line="360" w:lineRule="auto"/>
        <w:ind w:firstLine="482" w:firstLineChars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rFonts w:hAnsi="宋体"/>
          <w:b/>
          <w:sz w:val="24"/>
          <w:szCs w:val="24"/>
        </w:rPr>
        <w:t>Ⅰ</w:t>
      </w:r>
      <w:r>
        <w:rPr>
          <w:b/>
          <w:sz w:val="24"/>
          <w:szCs w:val="24"/>
        </w:rPr>
        <w:t>卷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本卷共20小题，每小题6分，共120分。在每小题给出的四个选项中，只有一项是符合题目要求的。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以下数据可供解题时参考：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相对原子质量（原子量）：H  1    C  12     O  16     S  12     Cr  52     Fe 56</w:t>
      </w:r>
    </w:p>
    <w:p>
      <w:pPr>
        <w:numPr>
          <w:ilvl w:val="0"/>
          <w:numId w:val="1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叶绿体是植物进行光合作用的场所。下列关于叶绿体结构与功能的叙述，正确的是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叶绿体中的色素主要分布在类囊体腔内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O在光下分解为[H]和O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的过程发生在基质中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的固定过程发生在类囊体薄膜上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rFonts w:hint="eastAsia"/>
          <w:sz w:val="24"/>
          <w:szCs w:val="24"/>
        </w:rPr>
      </w:pPr>
      <w:r>
        <w:rPr>
          <w:sz w:val="24"/>
          <w:szCs w:val="24"/>
        </w:rPr>
        <w:t>光合作用的产物——淀粉是在基质中合成的</w:t>
      </w:r>
    </w:p>
    <w:p>
      <w:pPr>
        <w:numPr>
          <w:ilvl w:val="0"/>
          <w:numId w:val="1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细胞的分化、衰老和凋亡是普遍存在的生命现象。下列有关叙述正确的是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人体各种组织细胞的衰老是同步进行的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人的早期胚胎有尾，尾部细胞随着发育逐渐凋亡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细胞癌变是细胞高度分化的结果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rFonts w:hint="eastAsia"/>
          <w:sz w:val="24"/>
          <w:szCs w:val="24"/>
        </w:rPr>
      </w:pPr>
      <w:r>
        <w:rPr>
          <w:sz w:val="24"/>
          <w:szCs w:val="24"/>
        </w:rPr>
        <w:t>皮肤上的“老年斑”是细胞凋亡的产物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3.用牛奶瓶培养黑腹果蝇，观察成虫数量的变化，结果如下表：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540"/>
        <w:gridCol w:w="518"/>
        <w:gridCol w:w="768"/>
        <w:gridCol w:w="768"/>
        <w:gridCol w:w="768"/>
        <w:gridCol w:w="768"/>
        <w:gridCol w:w="768"/>
        <w:gridCol w:w="768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时间（天）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9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13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17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21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25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29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33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成虫数（只）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10</w:t>
            </w:r>
          </w:p>
        </w:tc>
        <w:tc>
          <w:tcPr>
            <w:tcW w:w="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28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71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131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207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270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302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327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341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根据表中数据分析，下列结果正确的是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第13-25天，成虫数量增长快的主要原因是个体生长加快。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第17-29天，成虫增长率上升，死亡率下降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第21-37天，成虫增长率的下降与种群密度的改变有关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第1-37天，成虫数量成“J”型增长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4.2008年诺贝尔化学奖授予了“发现和发展了水母绿色荧光蛋白“的三位科学家。将绿色荧光蛋白基因的片段与目的基因连接起来组成一个融合基因，再将该融合基因转入真核生物细胞内，表达出的蛋白质就会带有绿色荧光。绿色荧光蛋白在该研究中的主要作用是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A．追踪目的基因在细胞内的复制过程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B．追踪目的基因插入到染色体上的位置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追踪目的基因编码的蛋白质在细胞内的分布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D．追踪目的基因编码的蛋白质的空间结构。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5.已知人的红绿色盲属X染色体隐性遗传，先天性耳聋是常染色体隐性遗传（D对d完全显性）。下图中</w:t>
      </w:r>
      <w:r>
        <w:rPr>
          <w:rFonts w:hint="eastAsia" w:ascii="宋体" w:hAnsi="宋体"/>
          <w:sz w:val="24"/>
          <w:szCs w:val="24"/>
        </w:rPr>
        <w:t>Ⅱ</w:t>
      </w:r>
      <w:r>
        <w:rPr>
          <w:rFonts w:hint="eastAsia"/>
          <w:sz w:val="24"/>
          <w:szCs w:val="24"/>
          <w:vertAlign w:val="subscript"/>
        </w:rPr>
        <w:t xml:space="preserve">2 </w:t>
      </w:r>
      <w:r>
        <w:rPr>
          <w:rFonts w:hint="eastAsia"/>
          <w:sz w:val="24"/>
          <w:szCs w:val="24"/>
        </w:rPr>
        <w:t>为色觉正常的耳聋患者，</w:t>
      </w:r>
      <w:r>
        <w:rPr>
          <w:rFonts w:hint="eastAsia" w:ascii="宋体" w:hAnsi="宋体"/>
          <w:sz w:val="24"/>
          <w:szCs w:val="24"/>
        </w:rPr>
        <w:t>Ⅱ</w:t>
      </w:r>
      <w:r>
        <w:rPr>
          <w:rFonts w:hint="eastAsia"/>
          <w:sz w:val="24"/>
          <w:szCs w:val="24"/>
          <w:vertAlign w:val="subscript"/>
        </w:rPr>
        <w:t>5</w:t>
      </w:r>
      <w:r>
        <w:rPr>
          <w:rFonts w:hint="eastAsia"/>
          <w:sz w:val="24"/>
          <w:szCs w:val="24"/>
        </w:rPr>
        <w:t>为听觉正常的色盲患者。</w:t>
      </w:r>
      <w:r>
        <w:rPr>
          <w:rFonts w:hint="eastAsia" w:ascii="宋体" w:hAnsi="宋体"/>
          <w:sz w:val="24"/>
          <w:szCs w:val="24"/>
        </w:rPr>
        <w:t>Ⅱ</w:t>
      </w:r>
      <w:r>
        <w:rPr>
          <w:rFonts w:hint="eastAsia" w:ascii="宋体" w:hAnsi="宋体"/>
          <w:sz w:val="24"/>
          <w:szCs w:val="24"/>
          <w:vertAlign w:val="subscript"/>
        </w:rPr>
        <w:t>4</w:t>
      </w:r>
      <w:r>
        <w:rPr>
          <w:rFonts w:hint="eastAsia" w:ascii="宋体" w:hAnsi="宋体"/>
          <w:sz w:val="24"/>
          <w:szCs w:val="24"/>
        </w:rPr>
        <w:t>(不携带d基因)和Ⅱ</w:t>
      </w:r>
      <w:r>
        <w:rPr>
          <w:rFonts w:hint="eastAsia" w:ascii="宋体" w:hAnsi="宋体"/>
          <w:sz w:val="24"/>
          <w:szCs w:val="24"/>
          <w:vertAlign w:val="subscript"/>
        </w:rPr>
        <w:t>3</w:t>
      </w:r>
      <w:r>
        <w:rPr>
          <w:rFonts w:hint="eastAsia" w:ascii="宋体" w:hAnsi="宋体"/>
          <w:sz w:val="24"/>
          <w:szCs w:val="24"/>
        </w:rPr>
        <w:t>婚后生下一个男孩，这个男孩患耳聋、色盲。既耳聋有色盲的可能性分别是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179070</wp:posOffset>
            </wp:positionV>
            <wp:extent cx="1714500" cy="640080"/>
            <wp:effectExtent l="0" t="0" r="0" b="7620"/>
            <wp:wrapTight wrapText="bothSides">
              <wp:wrapPolygon>
                <wp:start x="0" y="0"/>
                <wp:lineTo x="0" y="21214"/>
                <wp:lineTo x="21360" y="21214"/>
                <wp:lineTo x="21360" y="0"/>
                <wp:lineTo x="0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238375" cy="895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0 、</w:t>
      </w:r>
      <w:r>
        <w:rPr>
          <w:position w:val="-24"/>
          <w:sz w:val="24"/>
          <w:szCs w:val="24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5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、0          B. 0、</w:t>
      </w:r>
      <w:r>
        <w:rPr>
          <w:position w:val="-24"/>
          <w:sz w:val="24"/>
          <w:szCs w:val="24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24"/>
          <w:sz w:val="24"/>
          <w:szCs w:val="24"/>
        </w:rPr>
        <w:object>
          <v:shape id="_x0000_i1028" o:spt="75" type="#_x0000_t75" style="height:31pt;width:12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C.0、</w:t>
      </w:r>
      <w:r>
        <w:rPr>
          <w:position w:val="-24"/>
          <w:sz w:val="24"/>
          <w:szCs w:val="24"/>
        </w:rPr>
        <w:object>
          <v:shape id="_x0000_i1029" o:spt="75" type="#_x0000_t75" style="height:31pt;width:11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8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、0       D.</w:t>
      </w:r>
      <w:r>
        <w:rPr>
          <w:sz w:val="24"/>
          <w:szCs w:val="24"/>
        </w:rPr>
        <w:t xml:space="preserve"> </w:t>
      </w:r>
      <w:r>
        <w:rPr>
          <w:position w:val="-24"/>
          <w:sz w:val="24"/>
          <w:szCs w:val="24"/>
        </w:rPr>
        <w:object>
          <v:shape id="_x0000_i1030" o:spt="75" type="#_x0000_t75" style="height:31pt;width:12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24"/>
          <w:sz w:val="24"/>
          <w:szCs w:val="24"/>
        </w:rPr>
        <w:object>
          <v:shape id="_x0000_i1031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0" r:id="rId16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24"/>
          <w:sz w:val="24"/>
          <w:szCs w:val="24"/>
        </w:rPr>
        <w:object>
          <v:shape id="_x0000_i1032" o:spt="75" type="#_x0000_t75" style="height:31pt;width:11pt;" o:ole="t" filled="f" o:preferrelative="t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1" r:id="rId17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6.下列是关于“检测土壤中细菌总数”实验操作的叙述，其中错误的是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A.用蒸馏水配制牛肉膏蛋白膝培养基，经高温、高压灭菌后倒平板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B.取10</w:t>
      </w:r>
      <w:r>
        <w:rPr>
          <w:rFonts w:hint="eastAsia"/>
          <w:sz w:val="24"/>
          <w:szCs w:val="24"/>
          <w:vertAlign w:val="superscript"/>
        </w:rPr>
        <w:t>4</w:t>
      </w:r>
      <w:r>
        <w:rPr>
          <w:rFonts w:hint="eastAsia"/>
          <w:sz w:val="24"/>
          <w:szCs w:val="24"/>
        </w:rPr>
        <w:t>、10</w:t>
      </w:r>
      <w:r>
        <w:rPr>
          <w:rFonts w:hint="eastAsia"/>
          <w:sz w:val="24"/>
          <w:szCs w:val="24"/>
          <w:vertAlign w:val="superscript"/>
        </w:rPr>
        <w:t>5</w:t>
      </w:r>
      <w:r>
        <w:rPr>
          <w:rFonts w:hint="eastAsia"/>
          <w:sz w:val="24"/>
          <w:szCs w:val="24"/>
        </w:rPr>
        <w:t xml:space="preserve"> 、10</w:t>
      </w:r>
      <w:r>
        <w:rPr>
          <w:rFonts w:hint="eastAsia"/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倍的土壤稀释液和无菌水各0.1ml，分别涂布于各组平板上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C．将实验组和对照组平板倒置，37</w:t>
      </w:r>
      <w:r>
        <w:rPr>
          <w:rFonts w:hint="eastAsia"/>
          <w:sz w:val="24"/>
          <w:szCs w:val="24"/>
          <w:vertAlign w:val="superscript"/>
        </w:rPr>
        <w:t>0</w:t>
      </w:r>
      <w:r>
        <w:rPr>
          <w:rFonts w:hint="eastAsia"/>
          <w:sz w:val="24"/>
          <w:szCs w:val="24"/>
        </w:rPr>
        <w:t>C恒温培养24-48小时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D．确定对照组无菌后，选择菌落数在300以上的实验组平板进行计数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29.（15分）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3827145</wp:posOffset>
            </wp:positionH>
            <wp:positionV relativeFrom="paragraph">
              <wp:posOffset>0</wp:posOffset>
            </wp:positionV>
            <wp:extent cx="1543050" cy="1238250"/>
            <wp:effectExtent l="0" t="0" r="0" b="0"/>
            <wp:wrapSquare wrapText="bothSides"/>
            <wp:docPr id="4" name="Picture 4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Q截图未命名"/>
                    <pic:cNvPicPr>
                      <a:picLocks noChangeAspect="1"/>
                    </pic:cNvPicPr>
                  </pic:nvPicPr>
                  <pic:blipFill>
                    <a:blip r:embed="rId19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Ⅰ.（3分）现有等量的A、B两个品种的小麦种子，将它们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分别置于两个容积相同、密封的棕色广口瓶内，各加入适量（等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量）的水。在2</w:t>
      </w:r>
      <w:r>
        <w:rPr>
          <w:rFonts w:hint="eastAsia" w:ascii="宋体" w:hAnsi="宋体"/>
          <w:sz w:val="24"/>
          <w:szCs w:val="24"/>
        </w:rPr>
        <w:t>5℃条件下，瓶内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含量变化如图所示。请回答：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（1）在t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~t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期间，瓶内O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含量的降低主要是由种子的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引起的，A种子比B种子的呼吸速率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A、B种子释放CO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量的变化趋势是</w:t>
      </w:r>
      <w:r>
        <w:rPr>
          <w:rFonts w:hint="eastAsia"/>
          <w:sz w:val="24"/>
          <w:szCs w:val="24"/>
          <w:u w:val="single"/>
        </w:rPr>
        <w:t xml:space="preserve">              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   （2）在0~t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期间，广口瓶内的CO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有少量增加，主要原因可能是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Ⅱ.（7分）某生物兴趣小组调查发现，在黄瓜幼苗期喷洒一次乙烯利溶液（100~200mg· 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），可促进多开雌花，提高黄瓜产量。但乙烯利浓度低于或高于这个范围时，其作用效果尚不清楚。请设计实验，探究乙烯利浓度对黄瓜开雌花数量的影响。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材料用具：2~3片真叶的盆栽黄瓜幼苗若干、乙烯利溶液（300mg·L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）、蒸馏水、喷壶……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828800" cy="1479550"/>
            <wp:effectExtent l="0" t="0" r="0" b="6350"/>
            <wp:wrapSquare wrapText="bothSides"/>
            <wp:docPr id="5" name="Picture 5" descr="QQ截图未     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Q截图未     命名"/>
                    <pic:cNvPicPr>
                      <a:picLocks noChangeAspect="1"/>
                    </pic:cNvPicPr>
                  </pic:nvPicPr>
                  <pic:blipFill>
                    <a:blip r:embed="rId20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（1）将黄瓜幼苗平均分成A、B、C、D四组。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  <w:u w:val="single"/>
        </w:rPr>
        <w:t xml:space="preserve">                        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  <w:u w:val="single"/>
        </w:rPr>
        <w:t xml:space="preserve">                        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（4）连续观察6周，记录并统计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实验结果预测：（请在图中将预测的结果以折线的形式表示）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30．（18分）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152400</wp:posOffset>
            </wp:positionV>
            <wp:extent cx="1314450" cy="1234440"/>
            <wp:effectExtent l="0" t="0" r="0" b="381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21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Ⅰ.(10分)离体神经纤维某一部位受到适当刺激时，受刺激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部位细胞膜两侧会出现暂时性的电位变化，产生神经冲动。图示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该部位受刺激前后，膜两侧电位差的变化。请回答：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（1）图中a线段表示</w:t>
      </w:r>
      <w:r>
        <w:rPr>
          <w:rFonts w:hint="eastAsia" w:ascii="宋体" w:hAnsi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/>
          <w:sz w:val="24"/>
          <w:szCs w:val="24"/>
        </w:rPr>
        <w:t>电位；b点膜两侧的电位差为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，此时Na</w:t>
      </w:r>
      <w:r>
        <w:rPr>
          <w:rFonts w:hint="eastAsia" w:ascii="宋体" w:hAnsi="宋体"/>
          <w:sz w:val="24"/>
          <w:szCs w:val="24"/>
          <w:vertAlign w:val="superscript"/>
        </w:rPr>
        <w:t>+</w:t>
      </w:r>
      <w:r>
        <w:rPr>
          <w:rFonts w:hint="eastAsia" w:ascii="宋体" w:hAnsi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sz w:val="24"/>
          <w:szCs w:val="24"/>
        </w:rPr>
        <w:t>（内、外）流。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（2）神经冲动在离体神经纤维上以局部电流的方式双向传导，但在动物体内，神经冲动的传导方向是单向的，总是由胞体传向</w:t>
      </w:r>
      <w:r>
        <w:rPr>
          <w:rFonts w:hint="eastAsia" w:ascii="宋体" w:hAnsi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（3）神经冲动在突触的传递受很多药物的影响。某药物能阻断突触传递，如果它对神经递质的合成、释放和降解（或再摄取）等都没有影响，那么导致神经冲动不能传递的原因可能是该药物影响了神经递质与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rFonts w:hint="eastAsia"/>
          <w:sz w:val="24"/>
          <w:szCs w:val="24"/>
        </w:rPr>
        <w:t>的结合。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Ⅱ.（8分）在人体体温的神经—体液调节中，下丘脑是</w:t>
      </w:r>
      <w:r>
        <w:rPr>
          <w:rFonts w:hint="eastAsia"/>
          <w:sz w:val="24"/>
          <w:szCs w:val="24"/>
          <w:u w:val="single"/>
        </w:rPr>
        <w:t xml:space="preserve">                     </w:t>
      </w:r>
      <w:r>
        <w:rPr>
          <w:rFonts w:hint="eastAsia"/>
          <w:sz w:val="24"/>
          <w:szCs w:val="24"/>
        </w:rPr>
        <w:t>，调节产热活动最重要的激素是</w:t>
      </w:r>
      <w:r>
        <w:rPr>
          <w:rFonts w:hint="eastAsia"/>
          <w:sz w:val="24"/>
          <w:szCs w:val="24"/>
          <w:u w:val="single"/>
        </w:rPr>
        <w:t xml:space="preserve">                       </w:t>
      </w:r>
      <w:r>
        <w:rPr>
          <w:rFonts w:hint="eastAsia"/>
          <w:sz w:val="24"/>
          <w:szCs w:val="24"/>
        </w:rPr>
        <w:t>。人在寒冷的环境下会出现寒 战，这是机体通过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增加产热，有利于维持体温恒定；剧烈运动后，机体降低体温的机制主要是通过汗液的蒸发和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>增加散热。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31.（21分）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某种野生植物有紫花和白花两种表现型，已知紫花形成的生物化学途径是：</w:t>
      </w:r>
    </w:p>
    <w:p>
      <w:pPr>
        <w:ind w:firstLine="840" w:firstLineChars="3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341495" cy="904875"/>
            <wp:effectExtent l="0" t="0" r="1905" b="952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22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A和a、B和b是分别位于两对染色体上的等位基因，A对a、B对b为显性。基因型不同的两白花植株杂交，F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紫花：白花=1：1。若将F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紫花植株自交，所得F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植株中紫花：白花=9：7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请回答：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从紫花形成的途径可知，紫花性状是由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对基因控制。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紫花植株自交的结果，可以推测F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紫花植株的基因型是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，其自交所得F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中，白花植株纯合体的基因型是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推测两亲本白花植株的杂交组合（基因型）是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；用遗传图解表示两亲本白花植株杂交的过程（只要求写一组）。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紫花形成的生物化学途径中，若中间产物是红色（形成红花），那么基因型为AaBb的植株自交，子一代植株的表现型及比例为</w:t>
      </w:r>
      <w:r>
        <w:rPr>
          <w:rFonts w:hint="eastAsia"/>
          <w:sz w:val="24"/>
          <w:szCs w:val="24"/>
          <w:u w:val="single"/>
        </w:rPr>
        <w:t xml:space="preserve">                         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5"/>
        </w:numPr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72390</wp:posOffset>
            </wp:positionV>
            <wp:extent cx="1501140" cy="1611630"/>
            <wp:effectExtent l="0" t="0" r="3810" b="7620"/>
            <wp:wrapSquare wrapText="bothSides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23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紫花中的紫色物质是一种天然的优质色素，但由于B基因表达的酶较少，紫色物质含量较低。设想通过基因工程技术，采用重组的Ti质粒转移一段DNA进入细胞并且整合到染色体上，以促进B基因在花瓣细胞中的表达，提高紫色物质含量。右图是一个已插入外源DNA片段的重组Ti质粒载体结构模式图，请填出标号所示结构的名称：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vanish/>
          <w:color w:val="F2F2F2"/>
          <w:sz w:val="24"/>
          <w:szCs w:val="24"/>
        </w:rPr>
        <w:t>www.ks5u.com</w:t>
      </w:r>
    </w:p>
    <w:p>
      <w:pPr>
        <w:rPr>
          <w:vanish/>
          <w:color w:val="FFFFFF"/>
          <w:sz w:val="24"/>
          <w:szCs w:val="24"/>
        </w:rPr>
      </w:pPr>
      <w:r>
        <w:rPr>
          <w:vanish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6835140</wp:posOffset>
            </wp:positionV>
            <wp:extent cx="1562100" cy="571500"/>
            <wp:effectExtent l="0" t="0" r="0" b="0"/>
            <wp:wrapNone/>
            <wp:docPr id="27" name="Picture 8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 descr="logo1"/>
                    <pic:cNvPicPr>
                      <a:picLocks noChangeAspect="1"/>
                    </pic:cNvPicPr>
                  </pic:nvPicPr>
                  <pic:blipFill>
                    <a:blip r:embed="rId24">
                      <a:biLevel thresh="50000"/>
                      <a:grayscl/>
                      <a:lum bright="98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vanish/>
          <w:color w:val="FFFFFF"/>
          <w:sz w:val="24"/>
          <w:szCs w:val="24"/>
        </w:rPr>
        <w:t>w.w.w.k.s.5.u.c.o.m</w:t>
      </w:r>
      <w:r>
        <w:rPr>
          <w:vanish/>
          <w:sz w:val="24"/>
          <w:szCs w:val="24"/>
        </w:rPr>
        <w:t xml:space="preserve"> </w:t>
      </w:r>
    </w:p>
    <w:p>
      <w:pPr>
        <w:rPr>
          <w:vanish/>
          <w:color w:val="FFFFFF"/>
          <w:sz w:val="24"/>
          <w:szCs w:val="24"/>
        </w:rPr>
      </w:pPr>
      <w:r>
        <w:rPr>
          <w:vanish/>
          <w:color w:val="F2F2F2"/>
          <w:sz w:val="24"/>
          <w:szCs w:val="24"/>
        </w:rPr>
        <w:t>www.ks5u.com</w:t>
      </w:r>
    </w:p>
    <w:p>
      <w:pPr>
        <w:jc w:val="left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1-5 DBCCA 6-10 DDABD 11-15 CACBD 16-20 CCDAA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29.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-819785</wp:posOffset>
            </wp:positionV>
            <wp:extent cx="19050" cy="9525"/>
            <wp:effectExtent l="0" t="0" r="0" b="0"/>
            <wp:wrapNone/>
            <wp:docPr id="26" name="Picture 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答案Ⅰ.（1）有氧呼吸    快  先递增后递减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-1017905</wp:posOffset>
            </wp:positionV>
            <wp:extent cx="19050" cy="9525"/>
            <wp:effectExtent l="0" t="0" r="0" b="0"/>
            <wp:wrapNone/>
            <wp:docPr id="25" name="Picture 1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 xml:space="preserve">       （2）种子的无氧呼吸产生了CO</w:t>
      </w:r>
      <w:r>
        <w:rPr>
          <w:rFonts w:hint="eastAsia" w:ascii="宋体" w:hAnsi="宋体" w:cs="宋体"/>
          <w:sz w:val="24"/>
          <w:szCs w:val="24"/>
          <w:vertAlign w:val="subscript"/>
        </w:rPr>
        <w:t>2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-1216025</wp:posOffset>
            </wp:positionV>
            <wp:extent cx="19050" cy="9525"/>
            <wp:effectExtent l="0" t="0" r="0" b="0"/>
            <wp:wrapNone/>
            <wp:docPr id="24" name="Picture 1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Ⅱ.（2）用蒸馏水稀释乙烯利溶液，配置成4种浓度（要求在0</w:t>
      </w:r>
      <w:r>
        <w:rPr>
          <w:rFonts w:hint="eastAsia"/>
          <w:sz w:val="24"/>
          <w:szCs w:val="24"/>
        </w:rPr>
        <w:t>~100mg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、10</w:t>
      </w:r>
      <w:r>
        <w:rPr>
          <w:rFonts w:hint="eastAsia" w:ascii="宋体" w:hAnsi="宋体" w:cs="宋体"/>
          <w:sz w:val="24"/>
          <w:szCs w:val="24"/>
        </w:rPr>
        <w:t>0</w:t>
      </w:r>
      <w:r>
        <w:rPr>
          <w:rFonts w:hint="eastAsia"/>
          <w:sz w:val="24"/>
          <w:szCs w:val="24"/>
        </w:rPr>
        <w:t>~200mg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、20</w:t>
      </w:r>
      <w:r>
        <w:rPr>
          <w:rFonts w:hint="eastAsia" w:ascii="宋体" w:hAnsi="宋体" w:cs="宋体"/>
          <w:sz w:val="24"/>
          <w:szCs w:val="24"/>
        </w:rPr>
        <w:t>0</w:t>
      </w:r>
      <w:r>
        <w:rPr>
          <w:rFonts w:hint="eastAsia"/>
          <w:sz w:val="24"/>
          <w:szCs w:val="24"/>
        </w:rPr>
        <w:t>~300mg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三个区间各至少取一种浓度）。</w:t>
      </w:r>
    </w:p>
    <w:p>
      <w:pPr>
        <w:ind w:firstLine="360" w:firstLineChars="1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-1612265</wp:posOffset>
            </wp:positionV>
            <wp:extent cx="19050" cy="9525"/>
            <wp:effectExtent l="0" t="0" r="0" b="0"/>
            <wp:wrapNone/>
            <wp:docPr id="23" name="Picture 1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（3）取等量上述各浓度乙烯利溶液，用喷壶分别喷洒各组黄瓜幼苗一次。</w:t>
      </w:r>
    </w:p>
    <w:p>
      <w:pPr>
        <w:ind w:firstLine="360" w:firstLineChars="1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22" name="Picture 1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（4）各组雌花数（或各组每株平均雌花数）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-2008505</wp:posOffset>
            </wp:positionV>
            <wp:extent cx="19050" cy="9525"/>
            <wp:effectExtent l="0" t="0" r="0" b="0"/>
            <wp:wrapNone/>
            <wp:docPr id="21" name="Picture 1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实验结果预测：如配置的浓度为0、50、150、250</w:t>
      </w:r>
      <w:r>
        <w:rPr>
          <w:rFonts w:hint="eastAsia"/>
          <w:sz w:val="24"/>
          <w:szCs w:val="24"/>
        </w:rPr>
        <w:t>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，折线图为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20" name="Picture 1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5399405" cy="1202690"/>
            <wp:effectExtent l="0" t="0" r="10795" b="1651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-3593465</wp:posOffset>
            </wp:positionV>
            <wp:extent cx="19050" cy="9525"/>
            <wp:effectExtent l="0" t="0" r="0" b="0"/>
            <wp:wrapNone/>
            <wp:docPr id="18" name="Picture 1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（要求在横坐标上注明上述（2）配置的浓度）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30.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17" name="Picture 1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答案Ⅰ.（1）静息    0mv    内</w:t>
      </w:r>
    </w:p>
    <w:p>
      <w:pPr>
        <w:ind w:firstLine="840" w:firstLineChars="3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-2404745</wp:posOffset>
            </wp:positionV>
            <wp:extent cx="19050" cy="9525"/>
            <wp:effectExtent l="0" t="0" r="0" b="0"/>
            <wp:wrapNone/>
            <wp:docPr id="16" name="Picture 1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（2）轴突末梢</w:t>
      </w:r>
    </w:p>
    <w:p>
      <w:pPr>
        <w:ind w:firstLine="840" w:firstLineChars="3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15" name="Picture 1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（3）突触后膜上的特异性受体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14" name="Picture 2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Ⅱ.体温调节中枢      甲状腺激素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-2999105</wp:posOffset>
            </wp:positionV>
            <wp:extent cx="19050" cy="9525"/>
            <wp:effectExtent l="0" t="0" r="0" b="0"/>
            <wp:wrapNone/>
            <wp:docPr id="13" name="Picture 2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 xml:space="preserve">   骨骼肌收缩        皮肤毛细管舒张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31.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-1612265</wp:posOffset>
            </wp:positionV>
            <wp:extent cx="19050" cy="9525"/>
            <wp:effectExtent l="0" t="0" r="0" b="0"/>
            <wp:wrapNone/>
            <wp:docPr id="12" name="Picture 2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2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答案（1）两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11" name="Picture 2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3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（2）AaBb      aaBB、A</w:t>
      </w:r>
      <w:r>
        <w:rPr>
          <w:rFonts w:ascii="宋体" w:hAnsi="宋体" w:cs="宋体"/>
          <w:sz w:val="24"/>
          <w:szCs w:val="24"/>
        </w:rPr>
        <w:t>a</w:t>
      </w:r>
      <w:r>
        <w:rPr>
          <w:rFonts w:hint="eastAsia" w:ascii="宋体" w:hAnsi="宋体" w:cs="宋体"/>
          <w:sz w:val="24"/>
          <w:szCs w:val="24"/>
        </w:rPr>
        <w:t>bb、aabb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-2008505</wp:posOffset>
            </wp:positionV>
            <wp:extent cx="19050" cy="9525"/>
            <wp:effectExtent l="0" t="0" r="0" b="0"/>
            <wp:wrapNone/>
            <wp:docPr id="10" name="Picture 2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(3)Aabb×aaBB    AAbb×aaBb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9" name="Picture 2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遗传图解（只要求写一组）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-2404745</wp:posOffset>
            </wp:positionV>
            <wp:extent cx="19050" cy="9525"/>
            <wp:effectExtent l="0" t="0" r="0" b="0"/>
            <wp:wrapNone/>
            <wp:docPr id="8" name="Picture 2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514600" cy="4200525"/>
            <wp:effectExtent l="0" t="0" r="0" b="9525"/>
            <wp:docPr id="7" name="图片 11" descr="未命名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未命名副本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-6763385</wp:posOffset>
            </wp:positionV>
            <wp:extent cx="19050" cy="9525"/>
            <wp:effectExtent l="0" t="0" r="0" b="0"/>
            <wp:wrapNone/>
            <wp:docPr id="6" name="Picture 2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（4）紫花：红花：白花=9：3：4</w:t>
      </w:r>
    </w:p>
    <w:p>
      <w:pPr>
        <w:ind w:firstLine="420"/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>
        <w:rPr>
          <w:rFonts w:hint="eastAsia" w:ascii="宋体" w:hAnsi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T-DNA     </w:t>
      </w:r>
      <w:r>
        <w:rPr>
          <w:rFonts w:hint="eastAsia" w:ascii="宋体" w:hAnsi="宋体"/>
          <w:sz w:val="24"/>
          <w:szCs w:val="24"/>
        </w:rPr>
        <w:t>②标记基因    ③复制原点</w:t>
      </w:r>
    </w:p>
    <w:p>
      <w:pPr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7E83"/>
    <w:multiLevelType w:val="multilevel"/>
    <w:tmpl w:val="23787E83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（%2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2EF76DCB"/>
    <w:multiLevelType w:val="multilevel"/>
    <w:tmpl w:val="2EF76DCB"/>
    <w:lvl w:ilvl="0" w:tentative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48622B21"/>
    <w:multiLevelType w:val="multilevel"/>
    <w:tmpl w:val="48622B21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9AF5ADE"/>
    <w:multiLevelType w:val="multilevel"/>
    <w:tmpl w:val="59AF5ADE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42F1EBC"/>
    <w:multiLevelType w:val="multilevel"/>
    <w:tmpl w:val="642F1EBC"/>
    <w:lvl w:ilvl="0" w:tentative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D524B"/>
    <w:rsid w:val="33ED524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7.jpeg"/><Relationship Id="rId26" Type="http://schemas.openxmlformats.org/officeDocument/2006/relationships/image" Target="media/image16.png"/><Relationship Id="rId25" Type="http://schemas.openxmlformats.org/officeDocument/2006/relationships/image" Target="media/image15.jpe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2018-05-28T08:56:00Z</dcterms:created>
  <dc:creator>tuzi</dc:creator>
  <cp:lastModifiedBy>tuzi</cp:lastModifiedBy>
  <dcterms:modified xsi:type="dcterms:W3CDTF">2018-05-28T08:56:05Z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