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70" w:rsidRPr="00867D70" w:rsidRDefault="00867D70" w:rsidP="00867D70">
      <w:pPr>
        <w:snapToGrid w:val="0"/>
        <w:spacing w:line="240" w:lineRule="auto"/>
        <w:jc w:val="center"/>
        <w:rPr>
          <w:rFonts w:asciiTheme="minorEastAsia" w:eastAsiaTheme="minorEastAsia" w:hAnsiTheme="minorEastAsia"/>
          <w:b/>
          <w:sz w:val="28"/>
          <w:szCs w:val="28"/>
        </w:rPr>
      </w:pPr>
      <w:r w:rsidRPr="00867D70">
        <w:rPr>
          <w:rFonts w:asciiTheme="minorEastAsia" w:eastAsiaTheme="minorEastAsia" w:hAnsiTheme="minorEastAsia"/>
          <w:b/>
          <w:sz w:val="28"/>
          <w:szCs w:val="28"/>
        </w:rPr>
        <w:t>2015年普通高等学校招生统一考试（重庆卷）</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1.比较胚胎干细胞与胰腺泡细胞，相同的是</w:t>
      </w:r>
    </w:p>
    <w:p w:rsidR="00867D70" w:rsidRPr="00867D70" w:rsidRDefault="00867D70" w:rsidP="00867D70">
      <w:pPr>
        <w:snapToGrid w:val="0"/>
        <w:spacing w:line="240" w:lineRule="auto"/>
        <w:ind w:firstLine="720"/>
        <w:jc w:val="left"/>
        <w:rPr>
          <w:rFonts w:asciiTheme="minorEastAsia" w:eastAsiaTheme="minorEastAsia" w:hAnsiTheme="minorEastAsia"/>
          <w:szCs w:val="21"/>
        </w:rPr>
      </w:pPr>
      <w:r w:rsidRPr="00867D70">
        <w:rPr>
          <w:rFonts w:asciiTheme="minorEastAsia" w:eastAsiaTheme="minorEastAsia" w:hAnsiTheme="minorEastAsia"/>
          <w:szCs w:val="21"/>
        </w:rPr>
        <w:t xml:space="preserve">A. 线粒体的功能                  </w:t>
      </w:r>
      <w:r>
        <w:rPr>
          <w:rFonts w:asciiTheme="minorEastAsia" w:eastAsiaTheme="minorEastAsia" w:hAnsiTheme="minorEastAsia" w:hint="eastAsia"/>
          <w:szCs w:val="21"/>
        </w:rPr>
        <w:tab/>
      </w:r>
      <w:r>
        <w:rPr>
          <w:rFonts w:asciiTheme="minorEastAsia" w:eastAsiaTheme="minorEastAsia" w:hAnsiTheme="minorEastAsia" w:hint="eastAsia"/>
          <w:szCs w:val="21"/>
        </w:rPr>
        <w:tab/>
      </w:r>
      <w:r w:rsidRPr="00867D70">
        <w:rPr>
          <w:rFonts w:asciiTheme="minorEastAsia" w:eastAsiaTheme="minorEastAsia" w:hAnsiTheme="minorEastAsia"/>
          <w:szCs w:val="21"/>
        </w:rPr>
        <w:t>B.  发育的全能性</w:t>
      </w:r>
    </w:p>
    <w:p w:rsidR="00867D70" w:rsidRPr="00867D70" w:rsidRDefault="00867D70" w:rsidP="00867D70">
      <w:pPr>
        <w:snapToGrid w:val="0"/>
        <w:spacing w:line="240" w:lineRule="auto"/>
        <w:ind w:firstLine="720"/>
        <w:jc w:val="left"/>
        <w:rPr>
          <w:rFonts w:asciiTheme="minorEastAsia" w:eastAsiaTheme="minorEastAsia" w:hAnsiTheme="minorEastAsia"/>
          <w:szCs w:val="21"/>
        </w:rPr>
      </w:pPr>
      <w:r w:rsidRPr="00867D70">
        <w:rPr>
          <w:rFonts w:asciiTheme="minorEastAsia" w:eastAsiaTheme="minorEastAsia" w:hAnsiTheme="minorEastAsia"/>
          <w:szCs w:val="21"/>
        </w:rPr>
        <w:t xml:space="preserve">C. 膜蛋白的种类和数量             </w:t>
      </w:r>
      <w:r>
        <w:rPr>
          <w:rFonts w:asciiTheme="minorEastAsia" w:eastAsiaTheme="minorEastAsia" w:hAnsiTheme="minorEastAsia" w:hint="eastAsia"/>
          <w:szCs w:val="21"/>
        </w:rPr>
        <w:tab/>
      </w:r>
      <w:r w:rsidRPr="00867D70">
        <w:rPr>
          <w:rFonts w:asciiTheme="minorEastAsia" w:eastAsiaTheme="minorEastAsia" w:hAnsiTheme="minorEastAsia"/>
          <w:szCs w:val="21"/>
        </w:rPr>
        <w:t>D.  内质网上核糖体的数量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A【解析】胚胎干细胞发育的全能性高于胰腺腺泡细胞，B项错误；由于胰腺腺泡细胞需分泌消化酶，因此附着在内质网上的核糖体数量较多，同时不同功能的细胞中膜蛋白的种类和数量也不同，可见C、D项均错误；线粒体在不同的细胞中均是提供能量，因此A项正确。</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2.我国古代劳动人民积累的丰富农业生产经验，至今仍在实践中应用。下列叙述与植物激素作用无直接关系的是</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A.适时打顶去心，可促进棉株开花结实。（据《农桑辑要》）</w:t>
      </w:r>
    </w:p>
    <w:p w:rsidR="00867D70" w:rsidRPr="00867D70" w:rsidRDefault="00867D70" w:rsidP="00867D70">
      <w:pPr>
        <w:snapToGrid w:val="0"/>
        <w:spacing w:line="240" w:lineRule="auto"/>
        <w:ind w:firstLine="420"/>
        <w:jc w:val="left"/>
        <w:rPr>
          <w:rFonts w:asciiTheme="minorEastAsia" w:eastAsiaTheme="minorEastAsia" w:hAnsiTheme="minorEastAsia"/>
          <w:szCs w:val="21"/>
          <w:vertAlign w:val="superscript"/>
          <w:lang w:val="pt-BR"/>
        </w:rPr>
      </w:pPr>
      <w:r w:rsidRPr="00867D70">
        <w:rPr>
          <w:rFonts w:asciiTheme="minorEastAsia" w:eastAsiaTheme="minorEastAsia" w:hAnsiTheme="minorEastAsia"/>
          <w:szCs w:val="21"/>
          <w:lang w:val="pt-BR"/>
        </w:rPr>
        <w:t>B.肥田之法，种绿豆最佳，小豆、绿豆次之。（据《齐明要术》）</w:t>
      </w:r>
      <w:r w:rsidRPr="00867D70">
        <w:rPr>
          <w:rFonts w:asciiTheme="minorEastAsia" w:eastAsiaTheme="minorEastAsia" w:hAnsiTheme="minorEastAsia"/>
          <w:szCs w:val="21"/>
          <w:vertAlign w:val="superscript"/>
          <w:lang w:val="pt-BR"/>
        </w:rPr>
        <w:t xml:space="preserve">   </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C.正月种白稻，五月收获后，根茬长新稻，九月又成熟。</w:t>
      </w:r>
      <w:r w:rsidRPr="00867D70">
        <w:rPr>
          <w:rFonts w:asciiTheme="minorEastAsia" w:eastAsiaTheme="minorEastAsia" w:hAnsiTheme="minorEastAsia"/>
          <w:szCs w:val="21"/>
          <w:lang w:val="pt-BR"/>
        </w:rPr>
        <w:t>（据《广志》）</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 xml:space="preserve">D. 新摘未成熟的红柿，每蓝放木瓜二、三枚，得气即发，涩味尽失。 </w:t>
      </w:r>
      <w:r w:rsidRPr="00867D70">
        <w:rPr>
          <w:rFonts w:asciiTheme="minorEastAsia" w:eastAsiaTheme="minorEastAsia" w:hAnsiTheme="minorEastAsia"/>
          <w:szCs w:val="21"/>
          <w:lang w:val="pt-BR"/>
        </w:rPr>
        <w:t>（据《格物粗谈》）</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B【解析】棉花适时打顶摘心是为了解除顶端优势，这与生长素的两重性有关，A项错误；绿豆能和根瘤菌互利共生，可以利用空气中的氮，起到固氮的作用，从而提高土壤肥力，与植物激素无关，B项符合；在水稻的根茬发芽长出新稻主要与生长素有关，再发育到成熟是受多种植物激素共同调节的结果，C项错误；柿子的成熟与木瓜释放的乙烯有关，D项错误。</w:t>
      </w:r>
    </w:p>
    <w:p w:rsidR="00867D70" w:rsidRDefault="00867D70" w:rsidP="00867D70">
      <w:pPr>
        <w:snapToGrid w:val="0"/>
        <w:spacing w:line="240" w:lineRule="auto"/>
        <w:jc w:val="left"/>
        <w:rPr>
          <w:rFonts w:asciiTheme="minorEastAsia" w:eastAsiaTheme="minorEastAsia" w:hAnsiTheme="minorEastAsia" w:hint="eastAsia"/>
          <w:szCs w:val="21"/>
          <w:lang w:val="pt-BR"/>
        </w:rPr>
      </w:pPr>
      <w:r w:rsidRPr="00867D70">
        <w:rPr>
          <w:rFonts w:asciiTheme="minorEastAsia" w:eastAsiaTheme="minorEastAsia" w:hAnsiTheme="minorEastAsia"/>
          <w:szCs w:val="21"/>
          <w:lang w:val="pt-BR"/>
        </w:rPr>
        <w:t>3. 下表为某人血液化验的两项结果：</w:t>
      </w:r>
    </w:p>
    <w:tbl>
      <w:tblPr>
        <w:tblStyle w:val="a4"/>
        <w:tblW w:w="0" w:type="auto"/>
        <w:jc w:val="center"/>
        <w:tblBorders>
          <w:left w:val="none" w:sz="0" w:space="0" w:color="auto"/>
          <w:right w:val="none" w:sz="0" w:space="0" w:color="auto"/>
          <w:insideV w:val="none" w:sz="0" w:space="0" w:color="auto"/>
        </w:tblBorders>
        <w:tblLook w:val="04A0"/>
      </w:tblPr>
      <w:tblGrid>
        <w:gridCol w:w="1351"/>
        <w:gridCol w:w="1351"/>
        <w:gridCol w:w="1351"/>
        <w:gridCol w:w="1351"/>
      </w:tblGrid>
      <w:tr w:rsidR="00867D70" w:rsidTr="00867D70">
        <w:trPr>
          <w:trHeight w:val="54"/>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项目</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测定值</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参考范围</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单位</w:t>
            </w:r>
          </w:p>
        </w:tc>
      </w:tr>
      <w:tr w:rsidR="00867D70" w:rsidTr="00867D70">
        <w:trPr>
          <w:trHeight w:val="52"/>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甲状腺激素</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10.0</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3.1</w:t>
            </w:r>
            <w:r w:rsidRPr="00867D70">
              <w:rPr>
                <w:rFonts w:asciiTheme="minorEastAsia" w:eastAsiaTheme="minorEastAsia" w:hAnsiTheme="minorEastAsia" w:hint="eastAsia"/>
                <w:szCs w:val="21"/>
                <w:lang w:val="pt-BR"/>
              </w:rPr>
              <w:t>～</w:t>
            </w:r>
            <w:r>
              <w:rPr>
                <w:rFonts w:asciiTheme="minorEastAsia" w:eastAsiaTheme="minorEastAsia" w:hAnsiTheme="minorEastAsia" w:hint="eastAsia"/>
                <w:szCs w:val="21"/>
                <w:lang w:val="pt-BR"/>
              </w:rPr>
              <w:t>6.8</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szCs w:val="21"/>
                <w:lang w:val="pt-BR"/>
              </w:rPr>
              <w:t>P</w:t>
            </w:r>
            <w:r>
              <w:rPr>
                <w:rFonts w:asciiTheme="minorEastAsia" w:eastAsiaTheme="minorEastAsia" w:hAnsiTheme="minorEastAsia" w:hint="eastAsia"/>
                <w:szCs w:val="21"/>
                <w:lang w:val="pt-BR"/>
              </w:rPr>
              <w:t xml:space="preserve"> mol/L</w:t>
            </w:r>
          </w:p>
        </w:tc>
      </w:tr>
      <w:tr w:rsidR="00867D70" w:rsidTr="00867D70">
        <w:trPr>
          <w:trHeight w:val="54"/>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胰岛素</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1.7</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5.0</w:t>
            </w:r>
            <w:r w:rsidRPr="00867D70">
              <w:rPr>
                <w:rFonts w:asciiTheme="minorEastAsia" w:eastAsiaTheme="minorEastAsia" w:hAnsiTheme="minorEastAsia" w:hint="eastAsia"/>
                <w:szCs w:val="21"/>
                <w:lang w:val="pt-BR"/>
              </w:rPr>
              <w:t>～</w:t>
            </w:r>
            <w:r>
              <w:rPr>
                <w:rFonts w:asciiTheme="minorEastAsia" w:eastAsiaTheme="minorEastAsia" w:hAnsiTheme="minorEastAsia" w:hint="eastAsia"/>
                <w:szCs w:val="21"/>
                <w:lang w:val="pt-BR"/>
              </w:rPr>
              <w:t>20.0</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mlU/L</w:t>
            </w:r>
          </w:p>
        </w:tc>
      </w:tr>
    </w:tbl>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据此分析，其体内最可能发生的是</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 xml:space="preserve">A. 神经系统的兴奋性降低           </w:t>
      </w:r>
      <w:r>
        <w:rPr>
          <w:rFonts w:asciiTheme="minorEastAsia" w:eastAsiaTheme="minorEastAsia" w:hAnsiTheme="minorEastAsia" w:hint="eastAsia"/>
          <w:szCs w:val="21"/>
          <w:lang w:val="pt-BR"/>
        </w:rPr>
        <w:tab/>
      </w:r>
      <w:r>
        <w:rPr>
          <w:rFonts w:asciiTheme="minorEastAsia" w:eastAsiaTheme="minorEastAsia" w:hAnsiTheme="minorEastAsia" w:hint="eastAsia"/>
          <w:szCs w:val="21"/>
          <w:lang w:val="pt-BR"/>
        </w:rPr>
        <w:tab/>
      </w:r>
      <w:r w:rsidRPr="00867D70">
        <w:rPr>
          <w:rFonts w:asciiTheme="minorEastAsia" w:eastAsiaTheme="minorEastAsia" w:hAnsiTheme="minorEastAsia"/>
          <w:szCs w:val="21"/>
          <w:lang w:val="pt-BR"/>
        </w:rPr>
        <w:t>B. 血糖含量低于正常</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lang w:val="pt-BR"/>
        </w:rPr>
        <w:t xml:space="preserve">C. 促甲状腺激素分泌减少           </w:t>
      </w:r>
      <w:r>
        <w:rPr>
          <w:rFonts w:asciiTheme="minorEastAsia" w:eastAsiaTheme="minorEastAsia" w:hAnsiTheme="minorEastAsia" w:hint="eastAsia"/>
          <w:szCs w:val="21"/>
          <w:lang w:val="pt-BR"/>
        </w:rPr>
        <w:tab/>
      </w:r>
      <w:r>
        <w:rPr>
          <w:rFonts w:asciiTheme="minorEastAsia" w:eastAsiaTheme="minorEastAsia" w:hAnsiTheme="minorEastAsia" w:hint="eastAsia"/>
          <w:szCs w:val="21"/>
          <w:lang w:val="pt-BR"/>
        </w:rPr>
        <w:tab/>
      </w:r>
      <w:r w:rsidRPr="00867D70">
        <w:rPr>
          <w:rFonts w:asciiTheme="minorEastAsia" w:eastAsiaTheme="minorEastAsia" w:hAnsiTheme="minorEastAsia"/>
          <w:szCs w:val="21"/>
          <w:lang w:val="pt-BR"/>
        </w:rPr>
        <w:t>D. 组织细胞摄取葡萄糖加速</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C【解析】据化验单数据可知，甲状腺激素含量偏高，会提高神经系统的兴奋性，通过反馈调节会抑制垂体分泌促甲状腺激素，使促甲状腺激素分泌减少，A项错误、C项正确；由于胰岛素的含量低于正常值，会减缓组织摄取、利用葡萄糖，从而导致血糖含量高于正常值，B、D项错误。</w:t>
      </w:r>
    </w:p>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4. 将题4图所示细胞置于密闭容器中培养。在不同光照强度下，细胞内外的CO</w:t>
      </w:r>
      <w:r w:rsidRPr="00867D70">
        <w:rPr>
          <w:rFonts w:asciiTheme="minorEastAsia" w:eastAsiaTheme="minorEastAsia" w:hAnsiTheme="minorEastAsia"/>
          <w:szCs w:val="21"/>
          <w:vertAlign w:val="subscript"/>
          <w:lang w:val="pt-BR"/>
        </w:rPr>
        <w:t>2</w:t>
      </w:r>
      <w:r w:rsidRPr="00867D70">
        <w:rPr>
          <w:rFonts w:asciiTheme="minorEastAsia" w:eastAsiaTheme="minorEastAsia" w:hAnsiTheme="minorEastAsia"/>
          <w:szCs w:val="21"/>
          <w:lang w:val="pt-BR"/>
        </w:rPr>
        <w:t>和O</w:t>
      </w:r>
      <w:r w:rsidRPr="00867D70">
        <w:rPr>
          <w:rFonts w:asciiTheme="minorEastAsia" w:eastAsiaTheme="minorEastAsia" w:hAnsiTheme="minorEastAsia"/>
          <w:szCs w:val="21"/>
          <w:vertAlign w:val="subscript"/>
          <w:lang w:val="pt-BR"/>
        </w:rPr>
        <w:t>2</w:t>
      </w:r>
      <w:r w:rsidRPr="00867D70">
        <w:rPr>
          <w:rFonts w:asciiTheme="minorEastAsia" w:eastAsiaTheme="minorEastAsia" w:hAnsiTheme="minorEastAsia"/>
          <w:szCs w:val="21"/>
          <w:lang w:val="pt-BR"/>
        </w:rPr>
        <w:t>浓度在短时间内发生了相应的变化。下列叙述错误的是</w:t>
      </w:r>
    </w:p>
    <w:p w:rsidR="00867D70" w:rsidRPr="00867D70" w:rsidRDefault="00867D70" w:rsidP="00867D70">
      <w:pPr>
        <w:snapToGrid w:val="0"/>
        <w:spacing w:line="240" w:lineRule="auto"/>
        <w:jc w:val="center"/>
        <w:rPr>
          <w:rFonts w:asciiTheme="minorEastAsia" w:eastAsiaTheme="minorEastAsia" w:hAnsiTheme="minorEastAsia"/>
          <w:szCs w:val="21"/>
          <w:lang w:val="pt-BR"/>
        </w:rPr>
      </w:pPr>
      <w:r w:rsidRPr="00867D70">
        <w:rPr>
          <w:rFonts w:asciiTheme="minorEastAsia" w:eastAsiaTheme="minorEastAsia" w:hAnsiTheme="minorEastAsia"/>
          <w:noProof/>
          <w:szCs w:val="21"/>
        </w:rPr>
        <w:drawing>
          <wp:inline distT="0" distB="0" distL="0" distR="0">
            <wp:extent cx="2161378" cy="1619250"/>
            <wp:effectExtent l="19050" t="0" r="0" b="0"/>
            <wp:docPr id="3" name="图片 3" descr="2015-重庆卷-题4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重庆卷-题4图"/>
                    <pic:cNvPicPr>
                      <a:picLocks noChangeAspect="1" noChangeArrowheads="1"/>
                    </pic:cNvPicPr>
                  </pic:nvPicPr>
                  <pic:blipFill>
                    <a:blip r:embed="rId4" cstate="print"/>
                    <a:srcRect/>
                    <a:stretch>
                      <a:fillRect/>
                    </a:stretch>
                  </pic:blipFill>
                  <pic:spPr bwMode="auto">
                    <a:xfrm>
                      <a:off x="0" y="0"/>
                      <a:ext cx="2161378" cy="1619250"/>
                    </a:xfrm>
                    <a:prstGeom prst="rect">
                      <a:avLst/>
                    </a:prstGeom>
                    <a:noFill/>
                    <a:ln w="9525">
                      <a:noFill/>
                      <a:miter lim="800000"/>
                      <a:headEnd/>
                      <a:tailEnd/>
                    </a:ln>
                  </pic:spPr>
                </pic:pic>
              </a:graphicData>
            </a:graphic>
          </wp:inline>
        </w:drawing>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 黑暗条件下①增大，④减小</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B. 光强度低于光补偿点时，①、③增大</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C. 光强度等于光补偿点时，②、③保持不变</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 xml:space="preserve">D. 光强度等于光饱和点时，②减小，④增大， </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【答案】B【解析】黑暗条件下该细胞不能进行光合作用，只能进行呼吸作用，因此胞外CO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浓度会增大，而胞外O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浓度会减小，A项正确；光强低于光补偿点时，光合速率小于呼吸速率，同样会导致胞外CO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浓度会增大，而O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浓度会减小，B项错误；光强等于光补偿点时，光合速率等于呼吸速率，胞外二氧化碳浓度和氧气浓度保持稳定，C项正确；光强等</w:t>
      </w:r>
      <w:r w:rsidRPr="00867D70">
        <w:rPr>
          <w:rFonts w:asciiTheme="minorEastAsia" w:eastAsiaTheme="minorEastAsia" w:hAnsiTheme="minorEastAsia"/>
          <w:szCs w:val="21"/>
        </w:rPr>
        <w:lastRenderedPageBreak/>
        <w:t>于光饱和点时，光合速率大于呼吸速率，该植物需从外界吸收CO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而释放O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，导致CO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浓度增大，D项正确。</w:t>
      </w:r>
    </w:p>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5. 结合题图5分析，下列传述错误的是</w:t>
      </w:r>
    </w:p>
    <w:p w:rsidR="00867D70" w:rsidRPr="00867D70" w:rsidRDefault="00867D70" w:rsidP="00867D70">
      <w:pPr>
        <w:snapToGrid w:val="0"/>
        <w:spacing w:line="240" w:lineRule="auto"/>
        <w:jc w:val="center"/>
        <w:rPr>
          <w:rFonts w:asciiTheme="minorEastAsia" w:eastAsiaTheme="minorEastAsia" w:hAnsiTheme="minorEastAsia"/>
          <w:szCs w:val="21"/>
          <w:lang w:val="pt-BR"/>
        </w:rPr>
      </w:pPr>
      <w:r w:rsidRPr="00867D70">
        <w:rPr>
          <w:rFonts w:asciiTheme="minorEastAsia" w:eastAsiaTheme="minorEastAsia" w:hAnsiTheme="minorEastAsia"/>
          <w:noProof/>
          <w:szCs w:val="21"/>
        </w:rPr>
        <w:drawing>
          <wp:inline distT="0" distB="0" distL="0" distR="0">
            <wp:extent cx="2209542" cy="698500"/>
            <wp:effectExtent l="19050" t="0" r="258" b="0"/>
            <wp:docPr id="4" name="图片 4" descr="2015-重庆卷-题5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5-重庆卷-题5图"/>
                    <pic:cNvPicPr>
                      <a:picLocks noChangeAspect="1" noChangeArrowheads="1"/>
                    </pic:cNvPicPr>
                  </pic:nvPicPr>
                  <pic:blipFill>
                    <a:blip r:embed="rId5" cstate="print"/>
                    <a:srcRect/>
                    <a:stretch>
                      <a:fillRect/>
                    </a:stretch>
                  </pic:blipFill>
                  <pic:spPr bwMode="auto">
                    <a:xfrm>
                      <a:off x="0" y="0"/>
                      <a:ext cx="2210010" cy="698648"/>
                    </a:xfrm>
                    <a:prstGeom prst="rect">
                      <a:avLst/>
                    </a:prstGeom>
                    <a:noFill/>
                    <a:ln w="9525">
                      <a:noFill/>
                      <a:miter lim="800000"/>
                      <a:headEnd/>
                      <a:tailEnd/>
                    </a:ln>
                  </pic:spPr>
                </pic:pic>
              </a:graphicData>
            </a:graphic>
          </wp:inline>
        </w:drawing>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A.生物的遗传信息储存在DNA或RNA的核苷酸序列中</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B. 核酸苷序列不同的基因可表达出相同的蛋白质</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C. 遗传信息传递到蛋白质是表现型实现的基础</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D. 编码蛋白质的基因含遗传信息相同的两条单链</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D【解析】核酸分子中核苷酸的排列顺序就代表着遗传信息，A项正确；由于密码子的简并性等原因，不同的核苷酸序列可表达出相同的蛋白质，B项正确；基因通过控制蛋白质的合成来控制生物的性状，因此遗传信息传递到蛋白质是表现型实现的基础，C项正确；构成基因的两条链是互补的，其碱基排列顺序不同，D项错误。</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6.下列有关人胰岛素基因表达载体的叙述，正确的是</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A.表达载体中的胰岛素基因可通过人肝细胞mRNA反转录获得</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B.表达载体的复制和胰岛素基因的表达均启动于复制原（起）点</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C.借助抗生素抗性基因可将含胰岛素基因的受体细胞筛选出来</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D.启动子和终止密码子均在胰岛素基因的转录中起作用</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C【解析】由于胰岛素基因只在胰岛B细胞中表达，因此在肝细胞中无胰岛素基因的转录产物mRNA，A项错误；胰岛素基因的转录启动于启动子，而不是复制原点，B项错误；抗生素抗性基因可作为标记基因在含有抗生素的培养基中将受体细胞筛选出来，C项正确；终止</w:t>
      </w:r>
      <w:r w:rsidRPr="00867D70">
        <w:rPr>
          <w:rFonts w:asciiTheme="minorEastAsia" w:eastAsiaTheme="minorEastAsia" w:hAnsiTheme="minorEastAsia" w:hint="eastAsia"/>
          <w:szCs w:val="21"/>
        </w:rPr>
        <w:t>密码子位于信使RNA，不位于DNA上，启动子和终止子均在胰岛素基因转录中起作用；</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7.（10分）2014年埃博拉病在非洲蔓延，我国派出医疗队首次在境外组建医院，帮助非洲防控埃博拉疫情。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（1）研究表明，埃博拉病毒侵入机体后，通过靶向感染，破坏吞噬细胞等，使其不能暴露该病毒的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，以致感染信息不能呈递给</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，从而无法正常激活细胞免疫和体液免疫应答过程，导致机体对该病毒的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免疫功能下降。因此，病毒在体内快速增殖、致病。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（2）对志愿者接种埃博拉试验疫苗后，机体免疫系统能产生相应抗体，还能产生的免疫细胞有</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（3）用埃博拉病毒的某种蛋白免疫小鼠，通过</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技术获得杂交瘤细胞，用于生产单克隆抗体治疗该病。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【答案】（1）特有抗原或抗原肽-MHC    T细胞</w:t>
      </w:r>
      <w:r>
        <w:rPr>
          <w:rFonts w:asciiTheme="minorEastAsia" w:eastAsiaTheme="minorEastAsia" w:hAnsiTheme="minorEastAsia"/>
          <w:szCs w:val="21"/>
        </w:rPr>
        <w:t xml:space="preserve">    </w:t>
      </w:r>
      <w:r w:rsidRPr="00867D70">
        <w:rPr>
          <w:rFonts w:asciiTheme="minorEastAsia" w:eastAsiaTheme="minorEastAsia" w:hAnsiTheme="minorEastAsia"/>
          <w:szCs w:val="21"/>
        </w:rPr>
        <w:t>特异性（2）记忆细胞、效应T细胞</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（3）细胞融合或细胞杂交</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吞噬细胞在特异性免疫过程具摄取、处理和呈递抗原的作用，由于埃博拉病毒侵入机体后破坏了吞噬细胞，导致埃博拉病毒特有抗原（或抗原肽-MHC）无法暴露，导致感染信息不能呈递给T细胞，从而无法正常激活特异性免疫应答过程，导致机体对该该病毒的特异性免疫功能下降。</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（2）埃博拉试验疫苗能刺激机体能产生体液免疫和细胞免疫，因此机体除能产生分泌抗体的浆细胞以外，还能产生记忆细胞和效应T细胞。</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（3）用于生产单克隆抗体的杂交瘤细胞是由免疫过的小鼠的B淋巴细胞和骨髓瘤细胞通过细胞融合技术获得的。</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8.（20分）某课题组为解决本地奶牛产奶量低的问题，引进了具高产奶基因但对本地适应性差的纯种公牛。</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（1）拟进行如下杂交：</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           ♂A（具高产奶基因的纯种）×♀B（具适宜本地生长基因的纯种）→C</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选择B作为母本，原因之一是胚胎能在母体内正常</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。若C中的母牛表现为适宜本地生长，但产奶量并不提高，说明高产奶是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性状。为获得产奶量高且适宜本地生长的</w:t>
      </w:r>
      <w:r w:rsidRPr="00867D70">
        <w:rPr>
          <w:rFonts w:asciiTheme="minorEastAsia" w:eastAsiaTheme="minorEastAsia" w:hAnsiTheme="minorEastAsia"/>
          <w:szCs w:val="21"/>
        </w:rPr>
        <w:lastRenderedPageBreak/>
        <w:t>母牛，根据现有类型，最佳杂交组合是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，后代中出现这种母牛的概率是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（假设两对基因分别位于不同对常染色体上）。</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（2）用以上最佳组合，按以下流程可加速获得优良个体。</w:t>
      </w:r>
    </w:p>
    <w:p w:rsidR="00867D70" w:rsidRPr="00867D70" w:rsidRDefault="00867D70" w:rsidP="00867D70">
      <w:pPr>
        <w:widowControl/>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noProof/>
          <w:szCs w:val="21"/>
        </w:rPr>
        <w:drawing>
          <wp:inline distT="0" distB="0" distL="0" distR="0">
            <wp:extent cx="3962400" cy="792480"/>
            <wp:effectExtent l="19050" t="0" r="0" b="0"/>
            <wp:docPr id="5" name="图片 5" descr="2015-重庆卷-题8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5-重庆卷-题8图"/>
                    <pic:cNvPicPr>
                      <a:picLocks noChangeAspect="1" noChangeArrowheads="1"/>
                    </pic:cNvPicPr>
                  </pic:nvPicPr>
                  <pic:blipFill>
                    <a:blip r:embed="rId6" cstate="print"/>
                    <a:srcRect/>
                    <a:stretch>
                      <a:fillRect/>
                    </a:stretch>
                  </pic:blipFill>
                  <pic:spPr bwMode="auto">
                    <a:xfrm>
                      <a:off x="0" y="0"/>
                      <a:ext cx="3962400" cy="792480"/>
                    </a:xfrm>
                    <a:prstGeom prst="rect">
                      <a:avLst/>
                    </a:prstGeom>
                    <a:noFill/>
                    <a:ln w="9525">
                      <a:noFill/>
                      <a:miter lim="800000"/>
                      <a:headEnd/>
                      <a:tailEnd/>
                    </a:ln>
                  </pic:spPr>
                </pic:pic>
              </a:graphicData>
            </a:graphic>
          </wp:inline>
        </w:drawing>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精子要具有受精能力，需对其进行</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处理；卵子的成熟在过程</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中完成。在过程</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4</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的培养基中含有葡萄糖，其作用是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。为筛选出具有优良性状的母牛，过程</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5</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前应鉴定胚胎的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。子代母牛的优良性状与过程</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的基因重组有关。</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（3）为了提高已有胚胎的利用率，可采取</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技术。</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【答案】（1）生长发育或胚胎发育     隐性     ♂A×♀C      1/8</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（2）获能或增强活力   ③    供能    性别、高产奶和适宜生长的基因    ②</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（3）胚胎分割</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由于胚胎能在母体内进行正常的胚胎发育，所以可选择适宜当地生长的纯种牛做母本。用纯种高产奶牛与适宜当地生长的纯种牛杂交，获得了C牛，表现为适宜当地生长，但产奶量并没提高，这说明不适宜当地生长是隐性性状，适宜当地生长是显性性状，高产奶是隐性性状，低产奶是显性性状。由于控制奶牛的产奶量的基因和对本地的适应性的基因分别位于不同的染色体上，说明他们在遗传时遵循基因的自由组合定律，若控制奶牛的产奶量的等位基因为A和a，对本地的适应性的的等位基因为B和b，可推知雄牛A的基因型为aabb，雌牛B为AABB，C为AaBb，可见要获得产奶量高且适宜当地生长的母牛（aaB</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），最佳的实验组合为♂A×♀C，此时后代出现所需牛（aaBb）的概率为1/4×1/2=1/8。</w:t>
      </w:r>
    </w:p>
    <w:p w:rsidR="00867D70" w:rsidRPr="00867D70" w:rsidRDefault="00867D70" w:rsidP="00867D70">
      <w:pPr>
        <w:snapToGrid w:val="0"/>
        <w:spacing w:line="240" w:lineRule="auto"/>
        <w:jc w:val="left"/>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8240" behindDoc="0" locked="0" layoutInCell="1" allowOverlap="1">
            <wp:simplePos x="0" y="0"/>
            <wp:positionH relativeFrom="margin">
              <wp:align>right</wp:align>
            </wp:positionH>
            <wp:positionV relativeFrom="paragraph">
              <wp:posOffset>887095</wp:posOffset>
            </wp:positionV>
            <wp:extent cx="2000250" cy="1936750"/>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000250" cy="1936750"/>
                    </a:xfrm>
                    <a:prstGeom prst="rect">
                      <a:avLst/>
                    </a:prstGeom>
                    <a:noFill/>
                    <a:ln w="9525">
                      <a:noFill/>
                      <a:miter lim="800000"/>
                      <a:headEnd/>
                      <a:tailEnd/>
                    </a:ln>
                  </pic:spPr>
                </pic:pic>
              </a:graphicData>
            </a:graphic>
          </wp:anchor>
        </w:drawing>
      </w:r>
      <w:r w:rsidRPr="00867D70">
        <w:rPr>
          <w:rFonts w:asciiTheme="minorEastAsia" w:eastAsiaTheme="minorEastAsia" w:hAnsiTheme="minorEastAsia"/>
          <w:szCs w:val="21"/>
        </w:rPr>
        <w:t>（2）精子需获能后才具备受精的能力；由于排卵时排出的卵子只发育到减数MⅡ，而减数第二次分裂形成卵细胞是在受精过程中完成的，即卵子的成熟是在体外受精过程中完成；在胚胎培养过程中，培养基中的葡萄糖能为胚胎发育过程提供能量；为了筛选出具有优良性状的母牛，在胚胎移植之前需对胚胎的性别、高产奶和适宜生长的基因进行鉴定；母牛在减数分裂过程中发生基因重组，产生具有优良性状基因的卵细胞，子代母牛的优良性状与此有关。</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（3）通过胚胎分割技术可产生遗传性状相同的多个胚胎，从而提高胚胎的利用率。</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9.（10分）欧洲兔曾被无意携入澳洲大草原，对袋鼠等本地生物造成极大威胁。据题9图回答下列问题：</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（1）0（起始年）→a年，欧洲兔种群数量每年以一定的倍数（λ）增长。若起始年种群数量为24只，则a年种群数量N</w:t>
      </w:r>
      <w:r w:rsidRPr="00867D70">
        <w:rPr>
          <w:rFonts w:asciiTheme="minorEastAsia" w:eastAsiaTheme="minorEastAsia" w:hAnsiTheme="minorEastAsia"/>
          <w:szCs w:val="21"/>
          <w:vertAlign w:val="subscript"/>
        </w:rPr>
        <w:t>a</w:t>
      </w:r>
      <w:r w:rsidRPr="00867D70">
        <w:rPr>
          <w:rFonts w:asciiTheme="minorEastAsia" w:eastAsiaTheme="minorEastAsia" w:hAnsiTheme="minorEastAsia"/>
          <w:szCs w:val="21"/>
        </w:rPr>
        <w:t>＝</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；若不加以防治，将导致该草原生态系统的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锐减。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（2）a年引入狐狸防治兔灾。据a→b年欧洲兔和袋鼠数量的变化推测，狐狸和袋鼠的种间关系为</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（3）c年控制狐狸数量，并引入仅对欧洲兔致命的黏液瘤病毒后，草原生态系统逐渐恢复稳定。这体现了生态系统具有自我调节能力，其调节方式是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（4）d年后，欧洲兔种群数量回升，最可能的原因是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【答案】（1）24λ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 xml:space="preserve">     生物多样性（2）捕食</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（3）负反馈调节（4）欧洲兔对黏液瘤病毒的抗性增强</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【解析】（1）由题意可知，欧洲兔从0→a年种群数量每年以一定量的倍数（λ）增长，表明欧洲兔呈现J型增长，其增长模型可表示为N</w:t>
      </w:r>
      <w:r w:rsidRPr="00867D70">
        <w:rPr>
          <w:rFonts w:asciiTheme="minorEastAsia" w:eastAsiaTheme="minorEastAsia" w:hAnsiTheme="minorEastAsia"/>
          <w:szCs w:val="21"/>
          <w:vertAlign w:val="subscript"/>
        </w:rPr>
        <w:t>t</w:t>
      </w:r>
      <w:r w:rsidRPr="00867D70">
        <w:rPr>
          <w:rFonts w:asciiTheme="minorEastAsia" w:eastAsiaTheme="minorEastAsia" w:hAnsiTheme="minorEastAsia"/>
          <w:szCs w:val="21"/>
        </w:rPr>
        <w:t>=N</w:t>
      </w:r>
      <w:r w:rsidRPr="00867D70">
        <w:rPr>
          <w:rFonts w:asciiTheme="minorEastAsia" w:eastAsiaTheme="minorEastAsia" w:hAnsiTheme="minorEastAsia"/>
          <w:szCs w:val="21"/>
          <w:vertAlign w:val="subscript"/>
        </w:rPr>
        <w:t>0</w:t>
      </w:r>
      <w:r w:rsidRPr="00867D70">
        <w:rPr>
          <w:rFonts w:asciiTheme="minorEastAsia" w:eastAsiaTheme="minorEastAsia" w:hAnsiTheme="minorEastAsia"/>
          <w:szCs w:val="21"/>
        </w:rPr>
        <w:t>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。若N</w:t>
      </w:r>
      <w:r w:rsidRPr="00867D70">
        <w:rPr>
          <w:rFonts w:asciiTheme="minorEastAsia" w:eastAsiaTheme="minorEastAsia" w:hAnsiTheme="minorEastAsia"/>
          <w:szCs w:val="21"/>
          <w:vertAlign w:val="subscript"/>
        </w:rPr>
        <w:t>0</w:t>
      </w:r>
      <w:r w:rsidRPr="00867D70">
        <w:rPr>
          <w:rFonts w:asciiTheme="minorEastAsia" w:eastAsiaTheme="minorEastAsia" w:hAnsiTheme="minorEastAsia"/>
          <w:szCs w:val="21"/>
        </w:rPr>
        <w:t>=24，则a年后种群数量为N</w:t>
      </w:r>
      <w:r w:rsidRPr="00867D70">
        <w:rPr>
          <w:rFonts w:asciiTheme="minorEastAsia" w:eastAsiaTheme="minorEastAsia" w:hAnsiTheme="minorEastAsia"/>
          <w:szCs w:val="21"/>
          <w:vertAlign w:val="subscript"/>
        </w:rPr>
        <w:t>a</w:t>
      </w:r>
      <w:r w:rsidRPr="00867D70">
        <w:rPr>
          <w:rFonts w:asciiTheme="minorEastAsia" w:eastAsiaTheme="minorEastAsia" w:hAnsiTheme="minorEastAsia"/>
          <w:szCs w:val="21"/>
        </w:rPr>
        <w:t>=24λ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。若对该草原生态系统中欧洲兔的数量不加以防治，其数量将急剧增加，会导致草场退化，最终导致该草原生态系统的生物多样性锐减。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（2）由题意可知，a年引入狐狸防治兔灾，此时兔的数量应减少，由图可知，此时袋鼠的</w:t>
      </w:r>
      <w:r w:rsidRPr="00867D70">
        <w:rPr>
          <w:rFonts w:asciiTheme="minorEastAsia" w:eastAsiaTheme="minorEastAsia" w:hAnsiTheme="minorEastAsia"/>
          <w:szCs w:val="21"/>
        </w:rPr>
        <w:lastRenderedPageBreak/>
        <w:t>数量急剧下降，两者呈现此消彼长的变化趋势，表明二者为捕食关系。</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（3）生态系统自我调节能力的基础是负反馈调节。</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（4）由于黏液瘤病毒对欧洲兔具有选择作用，d年后，对黏液瘤病毒具有抗性的个体数增加，使得欧洲兔种群数量回升。</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10.（14分）小麦的穗发芽影响其产量和品质。某地引种的红粒小麦的穗发芽率明显低于当地白粒小麦。为探究淀粉酶活性与穗发芽率的关系，进行了如下实验。</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（1）取穗发芽时间相同、质量相等的红、白粒小麦种子，分别加蒸馏水研磨、制成提取液（去淀粉），并在适宜条件下进行实验。实验分组、步骤及结果如下：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9"/>
        <w:gridCol w:w="1995"/>
        <w:gridCol w:w="1500"/>
        <w:gridCol w:w="1530"/>
        <w:gridCol w:w="1395"/>
      </w:tblGrid>
      <w:tr w:rsidR="00867D70" w:rsidRPr="00867D70" w:rsidTr="00867D70">
        <w:trPr>
          <w:trHeight w:val="629"/>
          <w:jc w:val="center"/>
        </w:trPr>
        <w:tc>
          <w:tcPr>
            <w:tcW w:w="2574" w:type="dxa"/>
            <w:gridSpan w:val="2"/>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分组</w:t>
            </w:r>
          </w:p>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步骤</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红粒管</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白粒管</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对照管</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①</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加样</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0.5mL提取液</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0.5mL提取液</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C</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②</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加缓冲液（mL）</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③</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加淀粉溶液（mL）</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④</w:t>
            </w:r>
          </w:p>
        </w:tc>
        <w:tc>
          <w:tcPr>
            <w:tcW w:w="6420" w:type="dxa"/>
            <w:gridSpan w:val="4"/>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37℃保温适当时间，终止酶促反应，冷却至常温，加适量碘液显色</w:t>
            </w:r>
          </w:p>
        </w:tc>
      </w:tr>
      <w:tr w:rsidR="00867D70" w:rsidRPr="00867D70" w:rsidTr="00867D70">
        <w:trPr>
          <w:jc w:val="center"/>
        </w:trPr>
        <w:tc>
          <w:tcPr>
            <w:tcW w:w="2574" w:type="dxa"/>
            <w:gridSpan w:val="2"/>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显色结果</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r>
    </w:tbl>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  注：“+”数目越多表示蓝色越深</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步骤</w:t>
      </w:r>
      <w:r w:rsidRPr="00867D70">
        <w:rPr>
          <w:rFonts w:asciiTheme="minorEastAsia" w:eastAsiaTheme="minorEastAsia" w:hAnsiTheme="minorEastAsia" w:hint="eastAsia"/>
          <w:szCs w:val="21"/>
        </w:rPr>
        <w:t>①</w:t>
      </w:r>
      <w:r w:rsidRPr="00867D70">
        <w:rPr>
          <w:rFonts w:asciiTheme="minorEastAsia" w:eastAsiaTheme="minorEastAsia" w:hAnsiTheme="minorEastAsia"/>
          <w:szCs w:val="21"/>
        </w:rPr>
        <w:t>中加入的C是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，步骤</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2</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中加缓冲液的目的是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。显色结果表明：淀粉酶活性较低的品种是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；据此推测：淀粉酶活性越低，穗发芽率越</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。若步骤</w:t>
      </w:r>
      <w:r w:rsidRPr="00867D70">
        <w:rPr>
          <w:rFonts w:asciiTheme="minorEastAsia" w:eastAsiaTheme="minorEastAsia" w:hAnsiTheme="minorEastAsia" w:hint="eastAsia"/>
          <w:szCs w:val="21"/>
        </w:rPr>
        <w:t>③</w:t>
      </w:r>
      <w:r w:rsidRPr="00867D70">
        <w:rPr>
          <w:rFonts w:asciiTheme="minorEastAsia" w:eastAsiaTheme="minorEastAsia" w:hAnsiTheme="minorEastAsia"/>
          <w:szCs w:val="21"/>
        </w:rPr>
        <w:t>中的淀粉溶液浓度适当减小，为保持显色结果不变，则保温时间应</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（2）小麦淀粉酶包括α－淀粉酶和β－淀粉酶，为进一步探究其活性在穗发芽率差异中的作用，设计了如下实验方案：</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r>
      <w:r w:rsidRPr="00867D70">
        <w:rPr>
          <w:rFonts w:asciiTheme="minorEastAsia" w:eastAsiaTheme="minorEastAsia" w:hAnsiTheme="minorEastAsia"/>
          <w:szCs w:val="21"/>
        </w:rPr>
        <w:pict>
          <v:group id="组合 42" o:spid="_x0000_s1026" alt="" style="width:378.65pt;height:36.7pt;mso-position-horizontal-relative:char;mso-position-vertical-relative:line" coordsize="7573,734">
            <v:shapetype id="_x0000_t202" coordsize="21600,21600" o:spt="202" path="m,l,21600r21600,l21600,xe">
              <v:stroke joinstyle="miter"/>
              <v:path gradientshapeok="t" o:connecttype="rect"/>
            </v:shapetype>
            <v:shape id="文本框 34" o:spid="_x0000_s1027" type="#_x0000_t202" style="position:absolute;width:5039;height:359" stroked="f">
              <v:textbox inset="0,0,0,0">
                <w:txbxContent>
                  <w:p w:rsidR="00867D70" w:rsidRDefault="00867D70" w:rsidP="00867D70">
                    <w:pPr>
                      <w:rPr>
                        <w:rFonts w:hint="eastAsia"/>
                        <w:sz w:val="18"/>
                        <w:szCs w:val="18"/>
                      </w:rPr>
                    </w:pPr>
                    <w:r>
                      <w:rPr>
                        <w:rFonts w:hint="eastAsia"/>
                        <w:sz w:val="18"/>
                        <w:szCs w:val="18"/>
                      </w:rPr>
                      <w:t>Ⅰ</w:t>
                    </w:r>
                    <w:r>
                      <w:rPr>
                        <w:rFonts w:hint="eastAsia"/>
                        <w:sz w:val="18"/>
                        <w:szCs w:val="18"/>
                      </w:rPr>
                      <w:t>.</w:t>
                    </w:r>
                    <w:r>
                      <w:rPr>
                        <w:rFonts w:hint="eastAsia"/>
                        <w:sz w:val="18"/>
                        <w:szCs w:val="18"/>
                      </w:rPr>
                      <w:t>红粒管、白粒管各加入相应提取液</w:t>
                    </w:r>
                    <w:r>
                      <w:rPr>
                        <w:rFonts w:ascii="宋体" w:hAnsi="宋体" w:cs="宋体" w:hint="eastAsia"/>
                        <w:sz w:val="18"/>
                        <w:szCs w:val="18"/>
                      </w:rPr>
                      <w:t>0.5mL</w:t>
                    </w:r>
                    <w:r>
                      <w:rPr>
                        <w:rFonts w:hint="eastAsia"/>
                        <w:sz w:val="18"/>
                        <w:szCs w:val="18"/>
                      </w:rPr>
                      <w:t>→使</w:t>
                    </w:r>
                    <w:r>
                      <w:rPr>
                        <w:rFonts w:ascii="Arial" w:hAnsi="Arial" w:cs="Arial"/>
                        <w:sz w:val="18"/>
                        <w:szCs w:val="18"/>
                      </w:rPr>
                      <w:t>α</w:t>
                    </w:r>
                    <w:r>
                      <w:rPr>
                        <w:rFonts w:ascii="Arial" w:hAnsi="Arial" w:cs="Arial" w:hint="eastAsia"/>
                        <w:sz w:val="18"/>
                        <w:szCs w:val="18"/>
                      </w:rPr>
                      <w:t>－淀粉酶失活</w:t>
                    </w:r>
                  </w:p>
                </w:txbxContent>
              </v:textbox>
            </v:shape>
            <v:shape id="文本框 34" o:spid="_x0000_s1028" type="#_x0000_t202" style="position:absolute;left:15;top:376;width:4468;height:359" stroked="f">
              <v:textbox inset="0,0,0,0">
                <w:txbxContent>
                  <w:p w:rsidR="00867D70" w:rsidRDefault="00867D70" w:rsidP="00867D70">
                    <w:pPr>
                      <w:rPr>
                        <w:rFonts w:hint="eastAsia"/>
                        <w:sz w:val="18"/>
                        <w:szCs w:val="18"/>
                      </w:rPr>
                    </w:pPr>
                    <w:r>
                      <w:rPr>
                        <w:rFonts w:hint="eastAsia"/>
                        <w:sz w:val="18"/>
                        <w:szCs w:val="18"/>
                      </w:rPr>
                      <w:t>Ⅱ</w:t>
                    </w:r>
                    <w:r>
                      <w:rPr>
                        <w:rFonts w:hint="eastAsia"/>
                        <w:sz w:val="18"/>
                        <w:szCs w:val="18"/>
                      </w:rPr>
                      <w:t>.</w:t>
                    </w:r>
                    <w:r>
                      <w:rPr>
                        <w:rFonts w:hint="eastAsia"/>
                        <w:sz w:val="18"/>
                        <w:szCs w:val="18"/>
                      </w:rPr>
                      <w:t>红粒管、白粒管各加入相应提取液</w:t>
                    </w:r>
                    <w:r>
                      <w:rPr>
                        <w:rFonts w:ascii="宋体" w:hAnsi="宋体" w:cs="宋体" w:hint="eastAsia"/>
                        <w:sz w:val="18"/>
                        <w:szCs w:val="18"/>
                      </w:rPr>
                      <w:t xml:space="preserve">0.5mL </w:t>
                    </w:r>
                    <w:r>
                      <w:rPr>
                        <w:rFonts w:hint="eastAsia"/>
                        <w:sz w:val="18"/>
                        <w:szCs w:val="18"/>
                      </w:rPr>
                      <w:t>→</w:t>
                    </w:r>
                    <w:r>
                      <w:rPr>
                        <w:rFonts w:hint="eastAsia"/>
                        <w:sz w:val="18"/>
                        <w:szCs w:val="18"/>
                      </w:rPr>
                      <w:t xml:space="preserve"> X</w:t>
                    </w:r>
                    <w:r>
                      <w:rPr>
                        <w:rFonts w:hint="eastAsia"/>
                        <w:sz w:val="18"/>
                        <w:szCs w:val="18"/>
                      </w:rPr>
                      <w:t>处理</w:t>
                    </w:r>
                  </w:p>
                </w:txbxContent>
              </v:textbox>
            </v:shape>
            <v:shape id="文本框 34" o:spid="_x0000_s1029" type="#_x0000_t202" style="position:absolute;left:5369;top:228;width:2204;height:359" stroked="f">
              <v:textbox inset="0,0,0,0">
                <w:txbxContent>
                  <w:p w:rsidR="00867D70" w:rsidRDefault="00867D70" w:rsidP="00867D70">
                    <w:pPr>
                      <w:rPr>
                        <w:rFonts w:hint="eastAsia"/>
                        <w:sz w:val="18"/>
                        <w:szCs w:val="18"/>
                      </w:rPr>
                    </w:pPr>
                    <w:r>
                      <w:rPr>
                        <w:rFonts w:hint="eastAsia"/>
                        <w:sz w:val="18"/>
                        <w:szCs w:val="18"/>
                      </w:rPr>
                      <w:t>如上法实验操作并显色测定</w:t>
                    </w:r>
                  </w:p>
                </w:txbxContent>
              </v:textbox>
            </v:shape>
            <v:group id="组合 40" o:spid="_x0000_s1030" alt="" style="position:absolute;left:4408;top:148;width:930;height:390" coordsize="930,390">
              <v:line id="箭头 38" o:spid="_x0000_s1031" style="position:absolute" from="555,0" to="930,195" strokeweight="1pt">
                <v:stroke endarrow="block"/>
              </v:line>
              <v:line id="箭头 39" o:spid="_x0000_s1032" style="position:absolute;flip:y" from="0,224" to="930,390" strokeweight="1pt">
                <v:stroke endarrow="block"/>
              </v:line>
            </v:group>
            <w10:wrap type="none"/>
            <w10:anchorlock/>
          </v:group>
        </w:pic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X处理的作用是使</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。若Ⅰ中两管显色结果无明显差异，且Ⅱ中的显色结果为红粒管颜色显著</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白粒管（填“深于”或“浅于”），则表明α－淀粉酶活性是引起这两处小麦穗发芽率差异的主要原因。</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【答案】（1）0.5 ml蒸馏水      控制pH         红粒小麦     低     缩短</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（2）β-淀粉酶失活           深于 </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本实验是探究淀粉酶活性与穗发芽率的关系，由题干可知，实验的自变量是淀粉酶活性的高低及有无淀粉酶，因变量是试管中颜色的变化，为了遵循单一变量原则，对照管的步骤①中应加入0.5ml蒸馏水。因为酶促反应需适宜的pH，因此在步骤②的每支试管中均加入1 mL的缓冲液这有利于控制pH。显色结果表明白粒管颜色最浅，淀粉分解最彻底，红粒管颜色较深，淀粉部分分解，对照组颜色最深，淀粉几乎没分解。两种小麦相比，红粒小麦淀粉酶活性最低。由题意可知，红粒小麦的穗发芽率明显低于白粒小麦，这表明淀粉酶活性越低，穗发芽率越低。若步骤③中的淀粉溶液浓度适当减小，这时反应底物量减小，而酶量不变，底物被完全分解所需的时间缩短，因此，为了保持显色结果不变，则保温时间应缩短。</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本实验是探究淀粉酶的种类与穗发芽率的关系，由题干可知，实验的自变量是淀粉酶的种类，因变量是试管中颜色的变化，因此Ⅰ中两试管使α-淀粉酶失活，Ⅱ中两试管应使β-淀粉酶失活。若α-淀粉酶活性是引起白粒小麦和红粒小麦穗发芽率差异的主要原因，则Ⅱ两试管中淀粉分解量几乎不受影响，而Ⅰ两试管中淀粉分解量明显减少，所以实验结果为红粒管颜色显著深于白粒管。</w:t>
      </w:r>
    </w:p>
    <w:p w:rsidR="004358AB" w:rsidRPr="00867D70" w:rsidRDefault="004358AB" w:rsidP="00867D70">
      <w:pPr>
        <w:snapToGrid w:val="0"/>
        <w:spacing w:line="240" w:lineRule="auto"/>
        <w:jc w:val="left"/>
        <w:rPr>
          <w:rFonts w:asciiTheme="minorEastAsia" w:eastAsiaTheme="minorEastAsia" w:hAnsiTheme="minorEastAsia"/>
          <w:szCs w:val="21"/>
        </w:rPr>
      </w:pPr>
    </w:p>
    <w:sectPr w:rsidR="004358AB" w:rsidRPr="00867D70"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00000000"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characterSpacingControl w:val="doNotCompress"/>
  <w:compat>
    <w:useFELayout/>
  </w:compat>
  <w:rsids>
    <w:rsidRoot w:val="00D31D50"/>
    <w:rsid w:val="00323B43"/>
    <w:rsid w:val="003D37D8"/>
    <w:rsid w:val="00426133"/>
    <w:rsid w:val="004358AB"/>
    <w:rsid w:val="00694CF0"/>
    <w:rsid w:val="0079145E"/>
    <w:rsid w:val="00867D7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D70"/>
    <w:pPr>
      <w:widowControl w:val="0"/>
      <w:adjustRightInd w:val="0"/>
      <w:spacing w:after="0" w:line="312" w:lineRule="atLeast"/>
      <w:jc w:val="both"/>
      <w:textAlignment w:val="baseline"/>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7D70"/>
    <w:pPr>
      <w:spacing w:line="240" w:lineRule="auto"/>
    </w:pPr>
    <w:rPr>
      <w:sz w:val="18"/>
      <w:szCs w:val="18"/>
    </w:rPr>
  </w:style>
  <w:style w:type="character" w:customStyle="1" w:styleId="Char">
    <w:name w:val="批注框文本 Char"/>
    <w:basedOn w:val="a0"/>
    <w:link w:val="a3"/>
    <w:uiPriority w:val="99"/>
    <w:semiHidden/>
    <w:rsid w:val="00867D70"/>
    <w:rPr>
      <w:rFonts w:ascii="Times New Roman" w:eastAsia="宋体" w:hAnsi="Times New Roman" w:cs="Times New Roman"/>
      <w:sz w:val="18"/>
      <w:szCs w:val="18"/>
    </w:rPr>
  </w:style>
  <w:style w:type="table" w:styleId="a4">
    <w:name w:val="Table Grid"/>
    <w:basedOn w:val="a1"/>
    <w:uiPriority w:val="59"/>
    <w:rsid w:val="00867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2015-06-19T23:44:00Z</dcterms:modified>
</cp:coreProperties>
</file>