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2009年普通高等学校招生全国Ⅱ统一考试理科生物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选择题（本题共13小题。在每小题给出的四个选项中，只有一项是符合题目要求的。）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下列关于细胞呼吸的叙述，错误的是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细胞呼吸必须在酶的催化下进行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110" name="图片 110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9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vanish/>
          <w:color w:val="FFFFFF"/>
          <w:sz w:val="21"/>
          <w:szCs w:val="21"/>
        </w:rPr>
        <w:t>w.w.w.k.s.5.u.c.o.m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 人体硬骨组织细胞也进行呼吸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 酵母菌可以进行有氧呼吸和无氧呼吸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 叶肉细胞在光照下进行光合作用，不进行呼吸作用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right="0" w:rightChars="0" w:hanging="315" w:hanging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 人体甲状旁腺分泌甲状旁腺素，当人体血钙浓度下降时，甲状旁腺素分泌增加，作用于骨和肾脏使血钙浓度上升。甲状腺C细胞分泌降钙素，当血钙浓度上升时，降钙素分泌增加，作用于骨等使血钙浓度下降。下列关于血钙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血钙浓度降低可引起肌肉抽搐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 甲状旁腺素和降钙素对血钙的调节表现为协同作用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 人体血钙浓度在体液调节下处于动态平衡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 食物中的钙可以通过消化道吸收进入血液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75565</wp:posOffset>
            </wp:positionV>
            <wp:extent cx="19050" cy="9525"/>
            <wp:effectExtent l="0" t="0" r="0" b="0"/>
            <wp:wrapNone/>
            <wp:docPr id="68" name="图片 6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下列有关哺乳动物个体发育的叙述，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111" name="图片 11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9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w.w.w.k.s.5.u.c.o.m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胚胎发育过程中也会出现细胞衰老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 幼鹿经过变态发育过程长出发达的鹿角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 胚后发育过程中伴有细胞分化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 来自原肠胚同一胚层的细胞经分化发育成不同的组织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right="0" w:rightChars="0" w:hanging="315" w:hanging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 为防止甲型H1N1病毒在人群中的传播，有人建议接种人流感疫苗，接种人流感疫苗能够预防甲型H1N1流感的条件之一是：甲型H1N1病毒和人流感病毒具有相同的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leftChars="150"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-1552575</wp:posOffset>
            </wp:positionV>
            <wp:extent cx="19050" cy="9525"/>
            <wp:effectExtent l="0" t="0" r="0" b="0"/>
            <wp:wrapNone/>
            <wp:docPr id="69" name="图片 6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A.侵染部位    B.致病机理       C.抗原决定簇      D.传播途径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70" name="图片 7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71" name="图片 7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5. 下列属于种间竞争实例的是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72" name="图片 7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蚂蚁取食蚜虫分泌的蜜露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6458585</wp:posOffset>
            </wp:positionV>
            <wp:extent cx="19050" cy="9525"/>
            <wp:effectExtent l="0" t="0" r="0" b="0"/>
            <wp:wrapNone/>
            <wp:docPr id="73" name="图片 7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 以叶为食的菜粉蝶幼虫与蜜蜂在同一株油菜上采食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6260465</wp:posOffset>
            </wp:positionV>
            <wp:extent cx="19050" cy="9525"/>
            <wp:effectExtent l="0" t="0" r="0" b="0"/>
            <wp:wrapNone/>
            <wp:docPr id="74" name="图片 7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C. 细菌与其体内的噬菌体均利用培养基中的氨基酸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6062345</wp:posOffset>
            </wp:positionV>
            <wp:extent cx="19050" cy="9525"/>
            <wp:effectExtent l="0" t="0" r="0" b="0"/>
            <wp:wrapNone/>
            <wp:docPr id="75" name="图片 7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D. 某培养瓶中生活的两种绿藻，一种数量增加，另一种数量减少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2823210</wp:posOffset>
            </wp:positionH>
            <wp:positionV relativeFrom="margin">
              <wp:posOffset>5756910</wp:posOffset>
            </wp:positionV>
            <wp:extent cx="2162175" cy="1914525"/>
            <wp:effectExtent l="0" t="0" r="9525" b="9525"/>
            <wp:wrapSquare wrapText="bothSides"/>
            <wp:docPr id="153" name="图片 6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6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2000"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5864225</wp:posOffset>
            </wp:positionV>
            <wp:extent cx="19050" cy="9525"/>
            <wp:effectExtent l="0" t="0" r="0" b="0"/>
            <wp:wrapNone/>
            <wp:docPr id="76" name="图片 7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6458585</wp:posOffset>
            </wp:positionV>
            <wp:extent cx="19050" cy="9525"/>
            <wp:effectExtent l="0" t="0" r="0" b="0"/>
            <wp:wrapNone/>
            <wp:docPr id="77" name="图片 7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6260465</wp:posOffset>
            </wp:positionV>
            <wp:extent cx="19050" cy="9525"/>
            <wp:effectExtent l="0" t="0" r="0" b="0"/>
            <wp:wrapNone/>
            <wp:docPr id="78" name="图片 7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31.(8分)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6062345</wp:posOffset>
            </wp:positionV>
            <wp:extent cx="19050" cy="9525"/>
            <wp:effectExtent l="0" t="0" r="0" b="0"/>
            <wp:wrapNone/>
            <wp:docPr id="79" name="图片 7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（1）右图表示A、B两种植物的光照等其他条件适宜的情况下，光合作用强度对环境中CO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浓度变化的响应特性。据图判断在CO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浓度为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5" o:spt="75" alt="高考资源网( www.ks5u.com)，中国最大的高考网站，您身边的高考专家。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position w:val="-4"/>
          <w:sz w:val="21"/>
          <w:szCs w:val="21"/>
        </w:rPr>
        <w:object>
          <v:shape id="_x0000_i1026" o:spt="75" alt="高考资源网( www.ks5u.com)，中国最大的高考网站，您身边的高考专家。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(接近大气CO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浓度)时，光合作用强度较高的植物是______________。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5071745</wp:posOffset>
            </wp:positionV>
            <wp:extent cx="19050" cy="9525"/>
            <wp:effectExtent l="0" t="0" r="0" b="0"/>
            <wp:wrapNone/>
            <wp:docPr id="80" name="图片 8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（2）若将上述两种植物幼苗置于同一密闭的玻璃罩中，在光照等其他条件适宜的情况下，一段时间内，生长首先受影响的植物是___________，原因是________________。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3684905</wp:posOffset>
            </wp:positionV>
            <wp:extent cx="19050" cy="9525"/>
            <wp:effectExtent l="0" t="0" r="0" b="0"/>
            <wp:wrapNone/>
            <wp:docPr id="81" name="图片 8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(3)当植物净固定CO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量为0时，表明植物___________。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109" name="图片 109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9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w.w.w.k.s.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82" name="图片 8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2793365</wp:posOffset>
            </wp:positionV>
            <wp:extent cx="19050" cy="9525"/>
            <wp:effectExtent l="0" t="0" r="0" b="0"/>
            <wp:wrapNone/>
            <wp:docPr id="83" name="图片 8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 （14分）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2595245</wp:posOffset>
            </wp:positionV>
            <wp:extent cx="19050" cy="9525"/>
            <wp:effectExtent l="0" t="0" r="0" b="0"/>
            <wp:wrapNone/>
            <wp:docPr id="84" name="图片 8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请用所给的实验材料和用具，设计实验来验证哺乳动物的蔗糖酶和淀粉酶的催化作用具有专一性。要求完成实验设计、补充实验步骤、预测试验结果、得出结论，并回答问题。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2199005</wp:posOffset>
            </wp:positionV>
            <wp:extent cx="19050" cy="9525"/>
            <wp:effectExtent l="0" t="0" r="0" b="0"/>
            <wp:wrapNone/>
            <wp:docPr id="85" name="图片 8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实验材料与用具：适宜浓度的蔗糖酶、唾液淀粉酶、蔗糖、淀粉4种溶液，斐林试剂、37℃恒温水浴锅、沸水浴锅。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35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1802765</wp:posOffset>
            </wp:positionV>
            <wp:extent cx="19050" cy="9525"/>
            <wp:effectExtent l="0" t="0" r="0" b="0"/>
            <wp:wrapNone/>
            <wp:docPr id="86" name="图片 8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若“+”代表加入适量的溶液，“-”代表不加溶液，甲、乙等代表试管标号，请用这些符号完成下表实验设计（把答案填在答题卡上相应的表格中）。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1406525</wp:posOffset>
            </wp:positionV>
            <wp:extent cx="19050" cy="9525"/>
            <wp:effectExtent l="0" t="0" r="0" b="0"/>
            <wp:wrapNone/>
            <wp:docPr id="87" name="图片 8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591050" cy="1381125"/>
            <wp:effectExtent l="0" t="0" r="0" b="9525"/>
            <wp:docPr id="38" name="图片 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19685</wp:posOffset>
            </wp:positionV>
            <wp:extent cx="19050" cy="9525"/>
            <wp:effectExtent l="0" t="0" r="0" b="0"/>
            <wp:wrapNone/>
            <wp:docPr id="88" name="图片 8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实验步骤：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-178435</wp:posOffset>
            </wp:positionV>
            <wp:extent cx="19050" cy="9525"/>
            <wp:effectExtent l="0" t="0" r="0" b="0"/>
            <wp:wrapNone/>
            <wp:docPr id="89" name="图片 8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按照上表中的设计，取试管、加溶液。</w:t>
      </w:r>
    </w:p>
    <w:p>
      <w:pPr>
        <w:keepNext w:val="0"/>
        <w:keepLines w:val="0"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-376555</wp:posOffset>
            </wp:positionV>
            <wp:extent cx="19050" cy="9525"/>
            <wp:effectExtent l="0" t="0" r="0" b="0"/>
            <wp:wrapNone/>
            <wp:docPr id="90" name="图片 9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结果预测：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</w:t>
      </w:r>
    </w:p>
    <w:p>
      <w:pPr>
        <w:keepNext w:val="0"/>
        <w:keepLines w:val="0"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-574675</wp:posOffset>
            </wp:positionV>
            <wp:extent cx="19050" cy="9525"/>
            <wp:effectExtent l="0" t="0" r="0" b="0"/>
            <wp:wrapNone/>
            <wp:docPr id="91" name="图片 9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结论：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</w:t>
      </w:r>
    </w:p>
    <w:p>
      <w:pPr>
        <w:keepNext w:val="0"/>
        <w:keepLines w:val="0"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-772795</wp:posOffset>
            </wp:positionV>
            <wp:extent cx="19050" cy="9525"/>
            <wp:effectExtent l="0" t="0" r="0" b="0"/>
            <wp:wrapNone/>
            <wp:docPr id="92" name="图片 9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在上述实验中，如果仅将37℃恒温水浴锅的温度调到20℃，而在其他条件不变的情况下重做上述实验，出现砖红色试管中的颜色会比37℃时浅，其原因是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-1367155</wp:posOffset>
            </wp:positionV>
            <wp:extent cx="19050" cy="9525"/>
            <wp:effectExtent l="0" t="0" r="0" b="0"/>
            <wp:wrapNone/>
            <wp:docPr id="93" name="图片 9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33. 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-1565275</wp:posOffset>
            </wp:positionV>
            <wp:extent cx="19050" cy="9525"/>
            <wp:effectExtent l="0" t="0" r="0" b="0"/>
            <wp:wrapNone/>
            <wp:docPr id="94" name="图片 9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利用微生物分解玉米淀粉生产糖浆，具有广阔的应用前景。但现在野生菌株对淀粉的转化效率低，某同学尝试对其进行改造，以活得高效菌株。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95" name="图片 9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（1）实验步骤：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25" w:firstLine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96" name="图片 9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固体、半固体、液体）培养基，该培养基的碳源应为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25" w:firstLine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6260465</wp:posOffset>
            </wp:positionV>
            <wp:extent cx="19050" cy="9525"/>
            <wp:effectExtent l="0" t="0" r="0" b="0"/>
            <wp:wrapNone/>
            <wp:docPr id="97" name="图片 9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②将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接入已灭菌的培养基平板上。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25" w:firstLine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6062345</wp:posOffset>
            </wp:positionV>
            <wp:extent cx="19050" cy="9525"/>
            <wp:effectExtent l="0" t="0" r="0" b="0"/>
            <wp:wrapNone/>
            <wp:docPr id="98" name="图片 9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③立即用适当剂量的紫外线照射，其目的是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25" w:firstLine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5864225</wp:posOffset>
            </wp:positionV>
            <wp:extent cx="19050" cy="9525"/>
            <wp:effectExtent l="0" t="0" r="0" b="0"/>
            <wp:wrapNone/>
            <wp:docPr id="99" name="图片 9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④菌落形成后，加入碘液，观察菌落周围培养基的颜色变化和变化范围的大小。周围出现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现象的菌落即为初选菌落。经分离、纯化后即可达到实验目的。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5269865</wp:posOffset>
            </wp:positionV>
            <wp:extent cx="19050" cy="9525"/>
            <wp:effectExtent l="0" t="0" r="0" b="0"/>
            <wp:wrapNone/>
            <wp:docPr id="100" name="图片 10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（2）若已得到二株变异菌株Ⅰ和Ⅱ，其淀粉转化率较高。经测定菌株Ⅰ淀粉酶基因的编码区或非编码区，可推测出菌株Ⅰ的突变发生在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区，菌株Ⅱ的突变发生在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4873625</wp:posOffset>
            </wp:positionV>
            <wp:extent cx="19050" cy="9525"/>
            <wp:effectExtent l="0" t="0" r="0" b="0"/>
            <wp:wrapNone/>
            <wp:docPr id="101" name="图片 10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4675505</wp:posOffset>
            </wp:positionV>
            <wp:extent cx="19050" cy="9525"/>
            <wp:effectExtent l="0" t="0" r="0" b="0"/>
            <wp:wrapNone/>
            <wp:docPr id="102" name="图片 10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34. 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4477385</wp:posOffset>
            </wp:positionV>
            <wp:extent cx="19050" cy="9525"/>
            <wp:effectExtent l="0" t="0" r="0" b="0"/>
            <wp:wrapNone/>
            <wp:docPr id="103" name="图片 10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（1）人类遗传一般可以分为单基因遗传、多基因遗传和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①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遗传病。多基因遗传的发病除除受遗传因素影响外，还与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②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有关，所以一般不表现典型的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③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分离比例。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104" name="图片 10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（2）系谱法是进行人类单基因遗传病分析的传统方法。通常系谱图中必须给出的信息包括：性别、性状表现、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④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⑤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以及每一个体在世代中的位置。如果不考虑细胞质中和Y染色体上的基因，单基因遗传病可分成4类，原因是致病基因有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⑥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之分，还有位于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⑦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上之分。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105" name="图片 10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（3）在系谱图记录无误的情况下，应用系谱法对某些系谱图进行分析时，有时得不到确切结论，因为系谱法是在表现型的水平上进行分析，而且这些系谱图记录的家系中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106" name="图片 10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⑧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少和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⑨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少。因此，为了确定一种单基因遗传病的遗传方式，往往需要得到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⑩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，并进行合并分析。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108" name="图片 108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9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w.w.w.k.s.5.u.c.o.m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107" name="图片 10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参考答案参考答案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一、选择题：选对的给6分，选错或未选的给0分。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1 D       2 B      3 B       4 C       5 D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-4385945</wp:posOffset>
            </wp:positionV>
            <wp:extent cx="19050" cy="9525"/>
            <wp:effectExtent l="0" t="0" r="0" b="0"/>
            <wp:wrapNone/>
            <wp:docPr id="118" name="图片 1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31．（8分）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-4584065</wp:posOffset>
            </wp:positionV>
            <wp:extent cx="19050" cy="9525"/>
            <wp:effectExtent l="0" t="0" r="0" b="0"/>
            <wp:wrapNone/>
            <wp:docPr id="119" name="图片 1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-4782185</wp:posOffset>
            </wp:positionV>
            <wp:extent cx="19050" cy="9525"/>
            <wp:effectExtent l="0" t="0" r="0" b="0"/>
            <wp:wrapNone/>
            <wp:docPr id="120" name="图片 1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-4980305</wp:posOffset>
            </wp:positionV>
            <wp:extent cx="19050" cy="9525"/>
            <wp:effectExtent l="0" t="0" r="0" b="0"/>
            <wp:wrapNone/>
            <wp:docPr id="121" name="图片 12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两种植物光合作用强度对CO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7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浓度变化的响应特性不同，在低浓度CO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8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条件下，B植物利用CO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29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进行光合作用的能力弱，积累光合产物少，故随着玻璃罩中CO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0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浓度的降低，B植物生长首先受影响。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2654935</wp:posOffset>
            </wp:positionV>
            <wp:extent cx="19050" cy="9525"/>
            <wp:effectExtent l="0" t="0" r="0" b="0"/>
            <wp:wrapNone/>
            <wp:docPr id="122" name="图片 12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（3）光合作用固定的CO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1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量与呼吸释放的CO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2" o:spt="75" type="#_x0000_t75" style="height:16.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量相等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2258695</wp:posOffset>
            </wp:positionV>
            <wp:extent cx="19050" cy="9525"/>
            <wp:effectExtent l="0" t="0" r="0" b="0"/>
            <wp:wrapNone/>
            <wp:docPr id="123" name="图片 12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32．（14分）</w:t>
      </w:r>
    </w:p>
    <w:tbl>
      <w:tblPr>
        <w:tblStyle w:val="4"/>
        <w:tblW w:w="7848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16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54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976630" cy="479425"/>
                      <wp:effectExtent l="1905" t="4445" r="12065" b="1143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630" cy="479425"/>
                                <a:chOff x="1697" y="1762"/>
                                <a:chExt cx="1538" cy="755"/>
                              </a:xfrm>
                            </wpg:grpSpPr>
                            <wps:wsp>
                              <wps:cNvPr id="1" name="直接连接符 1"/>
                              <wps:cNvSpPr/>
                              <wps:spPr>
                                <a:xfrm>
                                  <a:off x="1697" y="1762"/>
                                  <a:ext cx="1538" cy="755"/>
                                </a:xfrm>
                                <a:prstGeom prst="line">
                                  <a:avLst/>
                                </a:prstGeom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2467" y="1820"/>
                                  <a:ext cx="253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溶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2811" y="1989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液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1857" y="2052"/>
                                  <a:ext cx="253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试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2168" y="2205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0pt;height:37.75pt;width:76.9pt;z-index:251707392;mso-width-relative:page;mso-height-relative:page;" coordorigin="1697,1762" coordsize="1538,755" o:gfxdata="UEsDBAoAAAAAAIdO4kAAAAAAAAAAAAAAAAAEAAAAZHJzL1BLAwQUAAAACACHTuJAt7BoYtcAAAAH&#10;AQAADwAAAGRycy9kb3ducmV2LnhtbE2PQUvDQBSE74L/YXmCt3Y3xqjEvBQp6qkItkLp7TX7moRm&#10;d0N2m7T/3u1Jj8MMM98Ui7PpxMiDb51FSOYKBNvK6dbWCD+bj9kLCB/IauqcZYQLe1iUtzcF5dpN&#10;9pvHdahFLLE+J4QmhD6X0lcNG/Jz17ON3sENhkKUQy31QFMsN518UOpJGmptXGio52XD1XF9Mgif&#10;E01vafI+ro6H5WW3yb62q4QR7+8S9Qoi8Dn8heGKH9GhjEx7d7Laiw5hlqg0RhHio6v9mGYg9gjP&#10;WQayLOR//vIXUEsDBBQAAAAIAIdO4kA3TxNJHQMAADkLAAAOAAAAZHJzL2Uyb0RvYy54bWztVk9v&#10;0zAUvyPxHazcWZq0Sdto6STYmJAQTBp8ADdx/kiObdle094RcEKcuICQOMBpR24c+DR0fAyenaQd&#10;WzdBkUBC68F1/Of5vd/v9569uzevKJoRqUrOYsfb6TmIsISnJctj5+mT+3dGDlIasxRTzkjsLIhy&#10;9ia3b+3WIiI+LzhNiURghKmoFrFTaC0i11VJQSqsdrggDCYzLius4VPmbipxDdYr6vq9XujWXKZC&#10;8oQoBaP7zaQzsfazjCT6cZYpohGNHfBN21badmpad7KLo1xiUZRJ6wbewosKlwwOXZnaxxqjE1le&#10;MlWVieSKZ3on4ZXLs6xMiI0BovF6F6I5lPxE2FjyqM7FCiaA9gJOW5tNHs2OJCrT2AkdxHAFFJ19&#10;efbt9UsUGmxqkUew5FCKY3Ek24G8+TLhzjNZmX8IBM0tqosVqmSuUQKD42EY9gH7BKYGw/HADxrU&#10;kwKoMbu8cDx0EMx6w9Dv5g7a3V7QBwmZvcPAbnS7U13j3MqXWoCA1Boj9WcYHRdYEAu9MgC0GHkr&#10;jN5+Xr76+P3re2jPTj8hrwHLrl0hpSIFoG2AaUPAHVhXh4sjIZU+JLxCphM7tGTGQxzh2UOlgRtA&#10;pltihilDNdDaDwz2GHIro1hDtxLAtmK53as4LdP7JaVmh5L59B6VaIZNttifiQvs/rTMHLKPVdGs&#10;s1MNawXB6QFLkV4I0BGDhHeMCxVJHUQJ1AfTA4M40rikv7ISjqYMPDDsNmCa3pSnC2DkRMgyLwAJ&#10;i75dAwowov0LUvA7KSzfvFi+O11+eI6sds3hIBgjAqTnd7nRdyeOK+TgD8JW/yO/rUidHPyg34jf&#10;D/stFV3KdVS3apBQ6q5TA+OGZQt+I4xxAIlouFjNbAZbz6dz2HYOd/qAQXaZatp1ZNeZdp1/yg1g&#10;1pSyNTcWvW24GXmQ9KY2jUfjRrtrbkADpjD5TdUC+G64OXcXby6hg8vcDLr8+M288UZBkzd+L2jv&#10;jTU3N3lz3ctiMzfBZW7slbtN3nghXNsmOYCc/zxv7EME3mf2pmzfkuYBeP7b3mHrF+/k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ewaGLXAAAABwEAAA8AAAAAAAAAAQAgAAAAIgAAAGRycy9kb3du&#10;cmV2LnhtbFBLAQIUABQAAAAIAIdO4kA3TxNJHQMAADkLAAAOAAAAAAAAAAEAIAAAACYBAABkcnMv&#10;ZTJvRG9jLnhtbFBLBQYAAAAABgAGAFkBAAC1BgAAAAA=&#10;">
                      <o:lock v:ext="edit" aspectratio="f"/>
                      <v:line id="_x0000_s1026" o:spid="_x0000_s1026" o:spt="20" style="position:absolute;left:1697;top:1762;height:755;width:1538;" filled="f" stroked="t" coordsize="21600,21600" o:gfxdata="UEsDBAoAAAAAAIdO4kAAAAAAAAAAAAAAAAAEAAAAZHJzL1BLAwQUAAAACACHTuJA2wcIfbgAAADa&#10;AAAADwAAAGRycy9kb3ducmV2LnhtbEVPTUsDMRC9C/0PYQrebLLCiqxNexC29OLBKp6Hzbi7uJks&#10;yXRT/fWmIHgaHu9ztvuLn9RCMY2BLVQbA4q4C27k3sL7W3v3CCoJssMpMFn4pgT73epmi40LmV9p&#10;OUmvSginBi0MInOjdeoG8pg2YSYu3GeIHqXA2GsXMZdwP+l7Yx60x5FLw4AzPQ/UfZ3O3gJX8jHl&#10;LHmJP/Whrur2aF5aa2/XlXkCJXSRf/Gf++jKfLi+cr169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cIfb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7;top:1820;height:263;width:253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溶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811;top:1989;height:262;width:252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液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857;top:2052;height:263;width:253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168;top:2205;height:262;width:252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管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蔗糖溶液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淀粉溶液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蔗糖酶溶液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唾液淀粉酶溶液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甲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乙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丙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丁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—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（2）②混匀，37℃恒温水浴一段时间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494030</wp:posOffset>
            </wp:positionV>
            <wp:extent cx="19050" cy="9525"/>
            <wp:effectExtent l="0" t="0" r="0" b="0"/>
            <wp:wrapNone/>
            <wp:docPr id="124" name="图片 12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③取出试管，分别加入适量的斐林试剂，混匀，沸水水浴一段时间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240030</wp:posOffset>
            </wp:positionV>
            <wp:extent cx="19050" cy="9525"/>
            <wp:effectExtent l="0" t="0" r="0" b="0"/>
            <wp:wrapNone/>
            <wp:docPr id="125" name="图片 12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④观察实验现象并记录实验结果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-13970</wp:posOffset>
            </wp:positionV>
            <wp:extent cx="19050" cy="9525"/>
            <wp:effectExtent l="0" t="0" r="0" b="0"/>
            <wp:wrapNone/>
            <wp:docPr id="126" name="图片 12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（3）含有蔗糖和蔗糖酶溶液的试管，以及含淀粉和淀粉酶溶液的试管中出现砖红色沉淀，其他试管中不出现砖红色沉淀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-521970</wp:posOffset>
            </wp:positionV>
            <wp:extent cx="19050" cy="9525"/>
            <wp:effectExtent l="0" t="0" r="0" b="0"/>
            <wp:wrapNone/>
            <wp:docPr id="127" name="图片 12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（4）酶的催化作用有专一性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-775970</wp:posOffset>
            </wp:positionV>
            <wp:extent cx="19050" cy="9525"/>
            <wp:effectExtent l="0" t="0" r="0" b="0"/>
            <wp:wrapNone/>
            <wp:docPr id="128" name="图片 12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（5）20℃低于酶的最适温度，酶活性低，水解产生的还原糖少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-1029970</wp:posOffset>
            </wp:positionV>
            <wp:extent cx="19050" cy="9525"/>
            <wp:effectExtent l="0" t="0" r="0" b="0"/>
            <wp:wrapNone/>
            <wp:docPr id="129" name="图片 12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33．（10分）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140" name="图片 140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9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w.w.w.k.s.5.u.c.o.m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right="0" w:rightChars="0" w:hanging="525" w:hangingChars="2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-1283970</wp:posOffset>
            </wp:positionV>
            <wp:extent cx="19050" cy="9525"/>
            <wp:effectExtent l="0" t="0" r="0" b="0"/>
            <wp:wrapNone/>
            <wp:docPr id="130" name="图片 13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（1）①固体   玉米淀粉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-1537970</wp:posOffset>
            </wp:positionV>
            <wp:extent cx="19050" cy="9525"/>
            <wp:effectExtent l="0" t="0" r="0" b="0"/>
            <wp:wrapNone/>
            <wp:docPr id="131" name="图片 13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②野生菌株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-1791970</wp:posOffset>
            </wp:positionV>
            <wp:extent cx="19050" cy="9525"/>
            <wp:effectExtent l="0" t="0" r="0" b="0"/>
            <wp:wrapNone/>
            <wp:docPr id="132" name="图片 13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③对野生菌株进行诱变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25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-2045970</wp:posOffset>
            </wp:positionV>
            <wp:extent cx="19050" cy="9525"/>
            <wp:effectExtent l="0" t="0" r="0" b="0"/>
            <wp:wrapNone/>
            <wp:docPr id="133" name="图片 13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④浅色范围大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-2299970</wp:posOffset>
            </wp:positionV>
            <wp:extent cx="19050" cy="9525"/>
            <wp:effectExtent l="0" t="0" r="0" b="0"/>
            <wp:wrapNone/>
            <wp:docPr id="134" name="图片 13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（2）编码   非编码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-2553970</wp:posOffset>
            </wp:positionV>
            <wp:extent cx="19050" cy="9525"/>
            <wp:effectExtent l="0" t="0" r="0" b="0"/>
            <wp:wrapNone/>
            <wp:docPr id="135" name="图片 13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34.（10分）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-2807970</wp:posOffset>
            </wp:positionV>
            <wp:extent cx="19050" cy="9525"/>
            <wp:effectExtent l="0" t="0" r="0" b="0"/>
            <wp:wrapNone/>
            <wp:docPr id="136" name="图片 13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（1）染色体异常    环境因素     孟德尔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-3061970</wp:posOffset>
            </wp:positionV>
            <wp:extent cx="19050" cy="9525"/>
            <wp:effectExtent l="0" t="0" r="0" b="0"/>
            <wp:wrapNone/>
            <wp:docPr id="137" name="图片 13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（2）亲子关系     世代数    显性和隐性，常染色体和X染色体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-3315970</wp:posOffset>
            </wp:positionV>
            <wp:extent cx="19050" cy="9525"/>
            <wp:effectExtent l="0" t="0" r="0" b="0"/>
            <wp:wrapNone/>
            <wp:docPr id="138" name="图片 1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封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（3）世代数   后代个体数   多个具有该遗传病家系的系谱图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2F87"/>
    <w:multiLevelType w:val="multilevel"/>
    <w:tmpl w:val="193F2F8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C07323"/>
    <w:multiLevelType w:val="multilevel"/>
    <w:tmpl w:val="46C073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4D4AE2"/>
    <w:multiLevelType w:val="multilevel"/>
    <w:tmpl w:val="584D4AE2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365"/>
        </w:tabs>
        <w:ind w:left="1365" w:hanging="94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ED21C9B"/>
    <w:multiLevelType w:val="multilevel"/>
    <w:tmpl w:val="7ED21C9B"/>
    <w:lvl w:ilvl="0" w:tentative="0">
      <w:start w:val="1"/>
      <w:numFmt w:val="decimalEnclosedCircle"/>
      <w:lvlText w:val="%1"/>
      <w:lvlJc w:val="left"/>
      <w:pPr>
        <w:tabs>
          <w:tab w:val="left" w:pos="1215"/>
        </w:tabs>
        <w:ind w:left="1215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995"/>
        </w:tabs>
        <w:ind w:left="1995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15"/>
        </w:tabs>
        <w:ind w:left="21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5"/>
        </w:tabs>
        <w:ind w:left="25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5"/>
        </w:tabs>
        <w:ind w:left="29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5"/>
        </w:tabs>
        <w:ind w:left="3375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5"/>
        </w:tabs>
        <w:ind w:left="37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5"/>
        </w:tabs>
        <w:ind w:left="42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5"/>
        </w:tabs>
        <w:ind w:left="463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67CFC"/>
    <w:rsid w:val="6D535020"/>
    <w:rsid w:val="7B3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2018-06-22T08:37:00Z</dcterms:created>
  <dc:creator>tuzi</dc:creator>
  <cp:lastModifiedBy>tuzi</cp:lastModifiedBy>
  <dcterms:modified xsi:type="dcterms:W3CDTF">2018-06-22T08:37:36Z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