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00"/>
        <w:ind w:firstLine="643"/>
        <w:jc w:val="center"/>
        <w:rPr>
          <w:rFonts w:eastAsia="黑体;SimHei"/>
          <w:b/>
          <w:b/>
          <w:sz w:val="32"/>
          <w:szCs w:val="32"/>
        </w:rPr>
      </w:pPr>
      <w:bookmarkStart w:id="0" w:name="OLE_LINK4"/>
      <w:r>
        <w:rPr>
          <w:rFonts w:eastAsia="黑体;SimHei"/>
          <w:b/>
          <w:sz w:val="32"/>
          <w:szCs w:val="32"/>
        </w:rPr>
        <w:t>2014</w:t>
      </w:r>
      <w:r>
        <w:rPr>
          <w:rFonts w:eastAsia="黑体;SimHei"/>
          <w:b/>
          <w:sz w:val="32"/>
          <w:szCs w:val="32"/>
        </w:rPr>
        <w:t>年普通高等学校招生全国统一考试（福建卷）</w:t>
      </w:r>
    </w:p>
    <w:p>
      <w:pPr>
        <w:pStyle w:val="Normal"/>
        <w:spacing w:lineRule="auto" w:line="300"/>
        <w:ind w:firstLine="643"/>
        <w:jc w:val="center"/>
        <w:rPr>
          <w:b/>
          <w:b/>
          <w:sz w:val="32"/>
          <w:szCs w:val="32"/>
        </w:rPr>
      </w:pPr>
      <w:r>
        <w:rPr>
          <w:rFonts w:eastAsia="黑体;SimHei"/>
          <w:b/>
          <w:sz w:val="32"/>
          <w:szCs w:val="32"/>
        </w:rPr>
        <w:t>理科综合</w:t>
      </w:r>
      <w:r>
        <w:rPr>
          <w:rFonts w:eastAsia="Times New Roman"/>
          <w:b/>
          <w:sz w:val="32"/>
          <w:szCs w:val="32"/>
        </w:rPr>
        <w:t xml:space="preserve"> </w:t>
      </w:r>
      <w:r>
        <w:rPr>
          <w:rFonts w:eastAsia="黑体;SimHei"/>
          <w:b/>
          <w:sz w:val="32"/>
          <w:szCs w:val="32"/>
        </w:rPr>
        <w:t>生物部分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1.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1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rFonts w:cs="宋体;SimSun"/>
          <w:szCs w:val="21"/>
        </w:rPr>
        <w:t>用蛋白酶去除大肠杆菌核糖体的蛋白质，处理后的核糖体仍可催化氨基酸的脱水缩合反应。由此可推测核糖体中能催化该反应的物质是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</w:t>
      </w:r>
      <w:r>
        <w:rPr>
          <w:rFonts w:cs="宋体;SimSun"/>
          <w:szCs w:val="21"/>
        </w:rPr>
        <w:t>蛋白酶</w: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B.RNA</w:t>
      </w:r>
      <w:r>
        <w:rPr>
          <w:rFonts w:cs="宋体;SimSun"/>
          <w:szCs w:val="21"/>
        </w:rPr>
        <w:t>聚合酶</w:t>
      </w:r>
      <w:r>
        <w:rPr>
          <w:rFonts w:eastAsia="Times New Roman"/>
          <w:szCs w:val="21"/>
        </w:rPr>
        <w:t xml:space="preserve">         </w:t>
      </w:r>
      <w:r>
        <w:rPr>
          <w:szCs w:val="21"/>
        </w:rPr>
        <w:t>C.RNA         D.</w:t>
      </w:r>
      <w:r>
        <w:rPr>
          <w:rFonts w:cs="宋体;SimSun"/>
          <w:szCs w:val="21"/>
        </w:rPr>
        <w:t>逆转录酶</w:t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>
          <w:szCs w:val="21"/>
        </w:rPr>
        <w:t>C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  <w:t>【解析】核糖体是细胞内一种核糖核蛋白颗粒，主要由</w:t>
      </w:r>
      <w:r>
        <w:rPr>
          <w:szCs w:val="21"/>
        </w:rPr>
        <w:t>RNA</w:t>
      </w:r>
      <w:r>
        <w:rPr>
          <w:rFonts w:cs="宋体;SimSun"/>
          <w:szCs w:val="21"/>
        </w:rPr>
        <w:t>和蛋白质构成，其功能是按照</w:t>
      </w:r>
      <w:r>
        <w:rPr>
          <w:szCs w:val="21"/>
        </w:rPr>
        <w:t>mRNA</w:t>
      </w:r>
      <w:r>
        <w:rPr>
          <w:rFonts w:cs="宋体;SimSun"/>
          <w:szCs w:val="21"/>
        </w:rPr>
        <w:t>的指令将氨基酸合成蛋白质多肽链；当用蛋白酶去除大肠杆菌核糖体的蛋白质后，余下的物质主要是</w:t>
      </w:r>
      <w:r>
        <w:rPr>
          <w:szCs w:val="21"/>
        </w:rPr>
        <w:t>RNA</w:t>
      </w:r>
      <w:r>
        <w:rPr>
          <w:rFonts w:cs="宋体;SimSun"/>
          <w:szCs w:val="21"/>
        </w:rPr>
        <w:t>，且到目前为止，人们发现在生物体内具有催化作用的大多数是蛋白质，其次是</w:t>
      </w:r>
      <w:r>
        <w:rPr>
          <w:szCs w:val="21"/>
        </w:rPr>
        <w:t>RNA</w:t>
      </w:r>
      <w:r>
        <w:rPr>
          <w:rFonts w:cs="宋体;SimSun"/>
          <w:szCs w:val="21"/>
        </w:rPr>
        <w:t>。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2.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2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rFonts w:cs="宋体;SimSun"/>
          <w:szCs w:val="21"/>
        </w:rPr>
        <w:t>运动时汗腺分泌大量汗液，汗液初始的渗透压与血浆相等，在流经汗腺导管排出体外过程中大部分</w:t>
      </w:r>
      <w:r>
        <w:rPr>
          <w:szCs w:val="21"/>
        </w:rPr>
        <w:t>Na</w:t>
      </w:r>
      <w:r>
        <w:rPr>
          <w:szCs w:val="21"/>
          <w:vertAlign w:val="superscript"/>
        </w:rPr>
        <w:t>+</w:t>
      </w:r>
      <w:r>
        <w:rPr>
          <w:rFonts w:cs="宋体;SimSun"/>
          <w:szCs w:val="21"/>
        </w:rPr>
        <w:t>、</w:t>
      </w:r>
      <w:r>
        <w:rPr>
          <w:szCs w:val="21"/>
        </w:rPr>
        <w:t>Cl</w:t>
      </w:r>
      <w:r>
        <w:rPr>
          <w:szCs w:val="21"/>
          <w:vertAlign w:val="superscript"/>
        </w:rPr>
        <w:t>-</w:t>
      </w:r>
      <w:r>
        <w:rPr>
          <w:rFonts w:cs="宋体;SimSun"/>
          <w:szCs w:val="21"/>
        </w:rPr>
        <w:t>被重吸收，而水很少被吸收。下列叙述正确的是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</w:t>
      </w:r>
      <w:r>
        <w:rPr>
          <w:rFonts w:cs="宋体;SimSun"/>
          <w:szCs w:val="21"/>
        </w:rPr>
        <w:t>出汗可使血浆渗透压降低</w:t>
      </w:r>
      <w:r>
        <w:rPr>
          <w:rFonts w:eastAsia="Times New Roman"/>
          <w:szCs w:val="21"/>
        </w:rPr>
        <w:t xml:space="preserve">            </w:t>
      </w:r>
      <w:r>
        <w:rPr>
          <w:szCs w:val="21"/>
        </w:rPr>
        <w:t>B.</w:t>
      </w:r>
      <w:r>
        <w:rPr>
          <w:rFonts w:cs="宋体;SimSun"/>
          <w:szCs w:val="21"/>
        </w:rPr>
        <w:t>出汗不利于体温维持稳定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C.</w:t>
      </w:r>
      <w:r>
        <w:rPr>
          <w:rFonts w:cs="宋体;SimSun"/>
          <w:szCs w:val="21"/>
        </w:rPr>
        <w:t>汗腺导管重吸收</w:t>
      </w:r>
      <w:r>
        <w:rPr>
          <w:szCs w:val="21"/>
        </w:rPr>
        <w:t>Na</w:t>
      </w:r>
      <w:r>
        <w:rPr>
          <w:szCs w:val="21"/>
          <w:vertAlign w:val="superscript"/>
        </w:rPr>
        <w:t>+</w:t>
      </w:r>
      <w:r>
        <w:rPr>
          <w:rFonts w:cs="宋体;SimSun"/>
          <w:szCs w:val="21"/>
        </w:rPr>
        <w:t>需消耗</w:t>
      </w:r>
      <w:r>
        <w:rPr>
          <w:szCs w:val="21"/>
        </w:rPr>
        <w:t>ATP       D.</w:t>
      </w:r>
      <w:r>
        <w:rPr>
          <w:rFonts w:cs="宋体;SimSun"/>
          <w:szCs w:val="21"/>
        </w:rPr>
        <w:t>下丘脑渗透压感受器兴奋减弱</w:t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>
          <w:szCs w:val="21"/>
        </w:rPr>
        <w:t>C</w:t>
      </w:r>
    </w:p>
    <w:p>
      <w:pPr>
        <w:pStyle w:val="Normal"/>
        <w:shd w:fill="FFFFFF" w:val="clear"/>
        <w:spacing w:lineRule="auto" w:line="300"/>
        <w:ind w:firstLine="420"/>
        <w:jc w:val="left"/>
        <w:rPr>
          <w:rFonts w:cs="宋体;SimSun"/>
          <w:szCs w:val="21"/>
        </w:rPr>
      </w:pPr>
      <w:r>
        <w:rPr>
          <w:rFonts w:cs="宋体;SimSun"/>
          <w:szCs w:val="21"/>
        </w:rPr>
        <w:t>【解析】大量出汗时，水的丢失多于电解质</w:t>
      </w:r>
      <w:r>
        <w:rPr>
          <w:szCs w:val="21"/>
        </w:rPr>
        <w:t>(NaCl)</w:t>
      </w:r>
      <w:r>
        <w:rPr>
          <w:rFonts w:cs="宋体;SimSun"/>
          <w:szCs w:val="21"/>
        </w:rPr>
        <w:t>的丢失</w:t>
      </w:r>
      <w:r>
        <w:rPr>
          <w:szCs w:val="21"/>
        </w:rPr>
        <w:t>(</w:t>
      </w:r>
      <w:r>
        <w:rPr>
          <w:rFonts w:cs="宋体;SimSun"/>
          <w:szCs w:val="21"/>
        </w:rPr>
        <w:t>汗水是低渗溶液</w:t>
      </w:r>
      <w:r>
        <w:rPr>
          <w:szCs w:val="21"/>
        </w:rPr>
        <w:t>)</w:t>
      </w:r>
      <w:r>
        <w:rPr>
          <w:rFonts w:cs="宋体;SimSun"/>
          <w:szCs w:val="21"/>
        </w:rPr>
        <w:t>，所以一般来说，大量出汗导致血浆渗透压上升，</w:t>
      </w:r>
      <w:r>
        <w:rPr>
          <w:szCs w:val="21"/>
        </w:rPr>
        <w:t>A</w:t>
      </w:r>
      <w:r>
        <w:rPr>
          <w:rFonts w:cs="宋体;SimSun"/>
          <w:szCs w:val="21"/>
        </w:rPr>
        <w:t>错误；在下丘脑有体温调节中枢，当人的体温高时，会加快血液循环、毛细血管扩张，产生汗液，这样体温就会下降，而当体温低时，毛细血管会收缩，人体会通过骨骼肌战栗产热，毛孔闭合，防止散热，故出汗是体温调节的人体正常机制，</w:t>
      </w:r>
      <w:r>
        <w:rPr>
          <w:szCs w:val="21"/>
        </w:rPr>
        <w:t>B</w:t>
      </w:r>
      <w:r>
        <w:rPr>
          <w:rFonts w:cs="宋体;SimSun"/>
          <w:szCs w:val="21"/>
        </w:rPr>
        <w:t>错误；汗腺导管重吸收</w:t>
      </w:r>
      <w:r>
        <w:rPr>
          <w:szCs w:val="21"/>
        </w:rPr>
        <w:t>Na</w:t>
      </w:r>
      <w:r>
        <w:rPr>
          <w:szCs w:val="21"/>
          <w:vertAlign w:val="superscript"/>
        </w:rPr>
        <w:t>+</w:t>
      </w:r>
      <w:r>
        <w:rPr>
          <w:rFonts w:cs="宋体;SimSun"/>
          <w:szCs w:val="21"/>
        </w:rPr>
        <w:t>的方式是主动运输，需消耗</w:t>
      </w:r>
      <w:r>
        <w:rPr>
          <w:szCs w:val="21"/>
        </w:rPr>
        <w:t>ATP</w:t>
      </w:r>
      <w:r>
        <w:rPr>
          <w:rFonts w:cs="宋体;SimSun"/>
          <w:szCs w:val="21"/>
        </w:rPr>
        <w:t>为其提供能量，</w:t>
      </w:r>
      <w:r>
        <w:rPr>
          <w:szCs w:val="21"/>
        </w:rPr>
        <w:t>C</w:t>
      </w:r>
      <w:r>
        <w:rPr>
          <w:rFonts w:cs="宋体;SimSun"/>
          <w:szCs w:val="21"/>
        </w:rPr>
        <w:t>正确；</w:t>
      </w:r>
      <w:bookmarkEnd w:id="0"/>
      <w:r>
        <w:rPr>
          <w:rFonts w:cs="宋体;SimSun"/>
          <w:szCs w:val="21"/>
        </w:rPr>
        <w:t>大量出汗后，失水多于失盐，细胞外液渗透压增大，刺激下丘脑的渗透压感受器，一方面通过产生兴奋并传至大脑皮层，通过产生渴觉来直接调节水的摄入量，同时下丘脑合成分泌并由垂体释放的抗利尿激素分泌增加，</w:t>
      </w:r>
      <w:r>
        <w:rPr>
          <w:szCs w:val="21"/>
        </w:rPr>
        <w:t>D</w:t>
      </w:r>
      <w:r>
        <w:rPr>
          <w:rFonts w:cs="宋体;SimSun"/>
          <w:szCs w:val="21"/>
        </w:rPr>
        <w:t>错误。</w:t>
      </w:r>
    </w:p>
    <w:p>
      <w:pPr>
        <w:pStyle w:val="Normal"/>
        <w:shd w:fill="FFFFFF" w:val="clear"/>
        <w:spacing w:lineRule="auto" w:line="300"/>
        <w:ind w:firstLine="420"/>
        <w:jc w:val="left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3.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3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rFonts w:cs="宋体;SimSun"/>
          <w:szCs w:val="21"/>
        </w:rPr>
        <w:t>研究人员用样方法调查了某地北点地梅（一年生草本植物）的种群数量变化，结果如图所示。下列叙述正确的是</w:t>
      </w:r>
    </w:p>
    <w:p>
      <w:pPr>
        <w:pStyle w:val="Normal"/>
        <w:spacing w:lineRule="auto" w:line="300" w:before="280" w:after="280"/>
        <w:ind w:firstLine="425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607945" cy="21818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A.1972</w:t>
      </w:r>
      <w:r>
        <w:rPr>
          <w:rFonts w:cs="宋体;SimSun"/>
          <w:szCs w:val="21"/>
        </w:rPr>
        <w:t>年北点地梅个体间生存斗争程度较</w:t>
      </w:r>
      <w:r>
        <w:rPr>
          <w:szCs w:val="21"/>
        </w:rPr>
        <w:t>1975</w:t>
      </w:r>
      <w:r>
        <w:rPr>
          <w:rFonts w:cs="宋体;SimSun"/>
          <w:szCs w:val="21"/>
        </w:rPr>
        <w:t>年低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B.1971</w:t>
      </w:r>
      <w:r>
        <w:rPr>
          <w:rFonts w:cs="宋体;SimSun"/>
          <w:szCs w:val="21"/>
        </w:rPr>
        <w:t>年种子萌发至幼苗阶段的死亡率高于幼苗至成熟植株阶段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C.</w:t>
      </w:r>
      <w:r>
        <w:rPr>
          <w:rFonts w:cs="宋体;SimSun"/>
          <w:szCs w:val="21"/>
        </w:rPr>
        <w:t>统计种群密度时，应去掉采集数据中最大、最小值后取平均值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D.</w:t>
      </w:r>
      <w:r>
        <w:rPr>
          <w:rFonts w:cs="宋体;SimSun"/>
          <w:szCs w:val="21"/>
        </w:rPr>
        <w:t>由于环境条件的限制，</w:t>
      </w:r>
      <w:r>
        <w:rPr>
          <w:szCs w:val="21"/>
        </w:rPr>
        <w:t>5</w:t>
      </w:r>
      <w:r>
        <w:rPr>
          <w:rFonts w:cs="宋体;SimSun"/>
          <w:szCs w:val="21"/>
        </w:rPr>
        <w:t>年间该种群数量呈</w:t>
      </w:r>
      <w:r>
        <w:rPr>
          <w:szCs w:val="21"/>
        </w:rPr>
        <w:t>“</w:t>
      </w:r>
      <w:r>
        <w:rPr>
          <w:szCs w:val="21"/>
        </w:rPr>
        <w:t>S”</w:t>
      </w:r>
      <w:r>
        <w:rPr>
          <w:rFonts w:cs="宋体;SimSun"/>
          <w:szCs w:val="21"/>
        </w:rPr>
        <w:t>型增长</w:t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>
          <w:szCs w:val="21"/>
        </w:rPr>
        <w:t>B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  <w:t>【解析】分析图示曲线可知，</w:t>
      </w:r>
      <w:r>
        <w:rPr>
          <w:szCs w:val="21"/>
        </w:rPr>
        <w:t>1972</w:t>
      </w:r>
      <w:r>
        <w:rPr>
          <w:rFonts w:cs="宋体;SimSun"/>
          <w:szCs w:val="21"/>
        </w:rPr>
        <w:t>年北点地梅种群密度比</w:t>
      </w:r>
      <w:r>
        <w:rPr>
          <w:szCs w:val="21"/>
        </w:rPr>
        <w:t>1975</w:t>
      </w:r>
      <w:r>
        <w:rPr>
          <w:rFonts w:cs="宋体;SimSun"/>
          <w:szCs w:val="21"/>
        </w:rPr>
        <w:t>年的大，个体间生存斗争也大，</w:t>
      </w:r>
      <w:r>
        <w:rPr>
          <w:szCs w:val="21"/>
        </w:rPr>
        <w:t>A</w:t>
      </w:r>
      <w:r>
        <w:rPr>
          <w:rFonts w:cs="宋体;SimSun"/>
          <w:szCs w:val="21"/>
        </w:rPr>
        <w:t>错误；横坐标为种群密度（表示单位面积的个体数）纵坐标为时间，而死亡率可看成单位个体数在单位时间死亡的个体数，从图中数据可知</w:t>
      </w:r>
      <w:r>
        <w:rPr>
          <w:szCs w:val="21"/>
        </w:rPr>
        <w:t>1971</w:t>
      </w:r>
      <w:r>
        <w:rPr>
          <w:rFonts w:cs="宋体;SimSun"/>
          <w:szCs w:val="21"/>
        </w:rPr>
        <w:t>年种子萌发至幼苗阶段的死亡率高于幼苗至成熟植株阶段，</w:t>
      </w:r>
      <w:r>
        <w:rPr>
          <w:szCs w:val="21"/>
        </w:rPr>
        <w:t>B</w:t>
      </w:r>
      <w:r>
        <w:rPr>
          <w:rFonts w:cs="宋体;SimSun"/>
          <w:szCs w:val="21"/>
        </w:rPr>
        <w:t>正确；统计种群密度时，不应舍弃所得数据，</w:t>
      </w:r>
      <w:r>
        <w:rPr>
          <w:szCs w:val="21"/>
        </w:rPr>
        <w:t>C</w:t>
      </w:r>
      <w:r>
        <w:rPr>
          <w:rFonts w:cs="宋体;SimSun"/>
          <w:szCs w:val="21"/>
        </w:rPr>
        <w:t>错误；从</w:t>
      </w:r>
      <w:r>
        <w:rPr>
          <w:szCs w:val="21"/>
        </w:rPr>
        <w:t>5</w:t>
      </w:r>
      <w:r>
        <w:rPr>
          <w:rFonts w:cs="宋体;SimSun"/>
          <w:szCs w:val="21"/>
        </w:rPr>
        <w:t>年数据可看到，种群密度每年都在下降，</w:t>
      </w:r>
      <w:r>
        <w:rPr>
          <w:szCs w:val="21"/>
        </w:rPr>
        <w:t>D</w:t>
      </w:r>
      <w:r>
        <w:rPr>
          <w:rFonts w:cs="宋体;SimSun"/>
          <w:szCs w:val="21"/>
        </w:rPr>
        <w:t>错误。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4.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4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rFonts w:cs="宋体;SimSun"/>
          <w:szCs w:val="21"/>
        </w:rPr>
        <w:t>细胞的膜蛋白具有物质运输、信息传递、免疫识别等重要生理功能。下列图中，可正确示意不同细胞的膜蛋白及其相应功能的是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 w:before="280" w:after="280"/>
        <w:rPr>
          <w:sz w:val="24"/>
        </w:rPr>
      </w:pPr>
      <w:r>
        <w:rPr>
          <w:sz w:val="24"/>
        </w:rPr>
        <w:drawing>
          <wp:inline distT="0" distB="0" distL="0" distR="0">
            <wp:extent cx="6036310" cy="21012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>
          <w:szCs w:val="21"/>
        </w:rPr>
        <w:t>D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  <w:t>【解析】血红蛋白存在于红细胞内，不是在细胞膜上，</w:t>
      </w:r>
      <w:r>
        <w:rPr>
          <w:szCs w:val="21"/>
        </w:rPr>
        <w:t>A</w:t>
      </w:r>
      <w:r>
        <w:rPr>
          <w:rFonts w:cs="宋体;SimSun"/>
          <w:szCs w:val="21"/>
        </w:rPr>
        <w:t>错误；抗原对</w:t>
      </w:r>
      <w:r>
        <w:rPr>
          <w:szCs w:val="21"/>
        </w:rPr>
        <w:t>T</w:t>
      </w:r>
      <w:r>
        <w:rPr>
          <w:rFonts w:cs="宋体;SimSun"/>
          <w:szCs w:val="21"/>
        </w:rPr>
        <w:t>淋巴细胞来说是信号分子，通过</w:t>
      </w:r>
      <w:r>
        <w:rPr>
          <w:szCs w:val="21"/>
        </w:rPr>
        <w:t>T</w:t>
      </w:r>
      <w:r>
        <w:rPr>
          <w:rFonts w:cs="宋体;SimSun"/>
          <w:szCs w:val="21"/>
        </w:rPr>
        <w:t>淋巴细胞膜上的受体来接受，而不是抗体，</w:t>
      </w:r>
      <w:r>
        <w:rPr>
          <w:szCs w:val="21"/>
        </w:rPr>
        <w:t>B</w:t>
      </w:r>
      <w:r>
        <w:rPr>
          <w:rFonts w:cs="宋体;SimSun"/>
          <w:szCs w:val="21"/>
        </w:rPr>
        <w:t>错误；受体具有特异性，胰高血糖素应作用于胰岛</w:t>
      </w:r>
      <w:r>
        <w:rPr>
          <w:szCs w:val="21"/>
        </w:rPr>
        <w:t>B</w:t>
      </w:r>
      <w:r>
        <w:rPr>
          <w:rFonts w:cs="宋体;SimSun"/>
          <w:szCs w:val="21"/>
        </w:rPr>
        <w:t>细胞上的胰高血糖受体，而不是胰岛素的受体，</w:t>
      </w:r>
      <w:r>
        <w:rPr>
          <w:szCs w:val="21"/>
        </w:rPr>
        <w:t>C</w:t>
      </w:r>
      <w:r>
        <w:rPr>
          <w:rFonts w:cs="宋体;SimSun"/>
          <w:szCs w:val="21"/>
        </w:rPr>
        <w:t>错误；骨骼肌作为反射弧中的效应器，骨骼肌细胞上有接受神经递质的受体，同时葡萄糖进入细胞也需要载体协助，</w:t>
      </w:r>
      <w:r>
        <w:rPr>
          <w:szCs w:val="21"/>
        </w:rPr>
        <w:t>D</w:t>
      </w:r>
      <w:r>
        <w:rPr>
          <w:rFonts w:cs="宋体;SimSun"/>
          <w:szCs w:val="21"/>
        </w:rPr>
        <w:t>正确。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5.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5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szCs w:val="21"/>
        </w:rPr>
        <w:t>STR</w:t>
      </w:r>
      <w:r>
        <w:rPr>
          <w:rFonts w:cs="宋体;SimSun"/>
          <w:szCs w:val="21"/>
        </w:rPr>
        <w:t>是</w:t>
      </w:r>
      <w:r>
        <w:rPr>
          <w:szCs w:val="21"/>
        </w:rPr>
        <w:t>DNA</w:t>
      </w:r>
      <w:r>
        <w:rPr>
          <w:rFonts w:cs="宋体;SimSun"/>
          <w:szCs w:val="21"/>
        </w:rPr>
        <w:t>分子上以</w:t>
      </w:r>
      <w:r>
        <w:rPr>
          <w:szCs w:val="21"/>
        </w:rPr>
        <w:t>2</w:t>
      </w:r>
      <w:r>
        <w:rPr/>
        <w:t>~</w:t>
      </w:r>
      <w:r>
        <w:rPr>
          <w:szCs w:val="21"/>
        </w:rPr>
        <w:t>6</w:t>
      </w:r>
      <w:r>
        <w:rPr>
          <w:rFonts w:cs="宋体;SimSun"/>
          <w:szCs w:val="21"/>
        </w:rPr>
        <w:t>个核苷酸为单元重复排列而成的片段，单元的重复次数在不同个体间存在差异。现已筛选出一系列不同位点的</w:t>
      </w:r>
      <w:r>
        <w:rPr>
          <w:szCs w:val="21"/>
        </w:rPr>
        <w:t>STR</w:t>
      </w:r>
      <w:r>
        <w:rPr>
          <w:rFonts w:cs="宋体;SimSun"/>
          <w:szCs w:val="21"/>
        </w:rPr>
        <w:t>用作亲子鉴定，如</w:t>
      </w:r>
      <w:r>
        <w:rPr>
          <w:szCs w:val="21"/>
        </w:rPr>
        <w:t>7</w:t>
      </w:r>
      <w:r>
        <w:rPr>
          <w:rFonts w:cs="宋体;SimSun"/>
          <w:szCs w:val="21"/>
        </w:rPr>
        <w:t>号染色体有一个</w:t>
      </w:r>
      <w:r>
        <w:rPr>
          <w:szCs w:val="21"/>
        </w:rPr>
        <w:t>STR</w:t>
      </w:r>
      <w:r>
        <w:rPr>
          <w:rFonts w:cs="宋体;SimSun"/>
          <w:szCs w:val="21"/>
        </w:rPr>
        <w:t>位点以</w:t>
      </w:r>
      <w:r>
        <w:rPr>
          <w:szCs w:val="21"/>
        </w:rPr>
        <w:t>“</w:t>
      </w:r>
      <w:r>
        <w:rPr>
          <w:szCs w:val="21"/>
        </w:rPr>
        <w:t>GATA”</w:t>
      </w:r>
      <w:r>
        <w:rPr>
          <w:rFonts w:cs="宋体;SimSun"/>
          <w:szCs w:val="21"/>
        </w:rPr>
        <w:t>为单元，重复</w:t>
      </w:r>
      <w:r>
        <w:rPr>
          <w:szCs w:val="21"/>
        </w:rPr>
        <w:t>7</w:t>
      </w:r>
      <w:r>
        <w:rPr/>
        <w:t>~</w:t>
      </w:r>
      <w:r>
        <w:rPr>
          <w:szCs w:val="21"/>
        </w:rPr>
        <w:t>17</w:t>
      </w:r>
      <w:r>
        <w:rPr>
          <w:rFonts w:cs="宋体;SimSun"/>
          <w:szCs w:val="21"/>
        </w:rPr>
        <w:t>次；</w:t>
      </w:r>
      <w:r>
        <w:rPr>
          <w:szCs w:val="21"/>
        </w:rPr>
        <w:t>X</w:t>
      </w:r>
      <w:r>
        <w:rPr>
          <w:rFonts w:cs="宋体;SimSun"/>
          <w:szCs w:val="21"/>
        </w:rPr>
        <w:t>染色体有一个</w:t>
      </w:r>
      <w:r>
        <w:rPr>
          <w:szCs w:val="21"/>
        </w:rPr>
        <w:t>STR</w:t>
      </w:r>
      <w:r>
        <w:rPr>
          <w:rFonts w:cs="宋体;SimSun"/>
          <w:szCs w:val="21"/>
        </w:rPr>
        <w:t>位点以</w:t>
      </w:r>
      <w:r>
        <w:rPr>
          <w:szCs w:val="21"/>
        </w:rPr>
        <w:t>“</w:t>
      </w:r>
      <w:r>
        <w:rPr>
          <w:szCs w:val="21"/>
        </w:rPr>
        <w:t>ATAG”</w:t>
      </w:r>
      <w:r>
        <w:rPr>
          <w:rFonts w:cs="宋体;SimSun"/>
          <w:szCs w:val="21"/>
        </w:rPr>
        <w:t>为单元，重复</w:t>
      </w:r>
      <w:r>
        <w:rPr>
          <w:szCs w:val="21"/>
        </w:rPr>
        <w:t>11</w:t>
      </w:r>
      <w:r>
        <w:rPr/>
        <w:t>~</w:t>
      </w:r>
      <w:r>
        <w:rPr>
          <w:szCs w:val="21"/>
        </w:rPr>
        <w:t>15</w:t>
      </w:r>
      <w:r>
        <w:rPr>
          <w:rFonts w:cs="宋体;SimSun"/>
          <w:szCs w:val="21"/>
        </w:rPr>
        <w:t>次。某女性</w:t>
      </w:r>
      <w:r>
        <w:rPr>
          <w:szCs w:val="21"/>
        </w:rPr>
        <w:t>7</w:t>
      </w:r>
      <w:r>
        <w:rPr>
          <w:rFonts w:cs="宋体;SimSun"/>
          <w:szCs w:val="21"/>
        </w:rPr>
        <w:t>号染色体和</w:t>
      </w:r>
      <w:r>
        <w:rPr>
          <w:szCs w:val="21"/>
        </w:rPr>
        <w:t>X</w:t>
      </w:r>
      <w:r>
        <w:rPr>
          <w:rFonts w:cs="宋体;SimSun"/>
          <w:szCs w:val="21"/>
        </w:rPr>
        <w:t>染色体</w:t>
      </w:r>
      <w:r>
        <w:rPr>
          <w:szCs w:val="21"/>
        </w:rPr>
        <w:t>DNA</w:t>
      </w:r>
      <w:r>
        <w:rPr>
          <w:rFonts w:cs="宋体;SimSun"/>
          <w:szCs w:val="21"/>
        </w:rPr>
        <w:t>的上述</w:t>
      </w:r>
      <w:r>
        <w:rPr>
          <w:szCs w:val="21"/>
        </w:rPr>
        <w:t>STR</w:t>
      </w:r>
      <w:r>
        <w:rPr>
          <w:rFonts w:cs="宋体;SimSun"/>
          <w:szCs w:val="21"/>
        </w:rPr>
        <w:t>位点如图所示。下列叙述错误的是</w:t>
      </w:r>
    </w:p>
    <w:p>
      <w:pPr>
        <w:pStyle w:val="Normal"/>
        <w:spacing w:lineRule="auto" w:line="300"/>
        <w:ind w:firstLine="480"/>
        <w:rPr>
          <w:sz w:val="24"/>
          <w:szCs w:val="21"/>
        </w:rPr>
      </w:pPr>
      <w:r>
        <w:rPr>
          <w:sz w:val="2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128905</wp:posOffset>
                </wp:positionH>
                <wp:positionV relativeFrom="paragraph">
                  <wp:posOffset>111125</wp:posOffset>
                </wp:positionV>
                <wp:extent cx="4540885" cy="263461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1040" cy="2634480"/>
                          <a:chOff x="0" y="0"/>
                          <a:chExt cx="4541040" cy="2634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541040" cy="13449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326520"/>
                              <a:ext cx="3655080" cy="618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560" y="1836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533880" y="1836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GATA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819440" y="2016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GATA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19160" y="20160"/>
                                <a:ext cx="7970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……………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313360" y="0"/>
                                <a:ext cx="1341720" cy="28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70800"/>
                                <a:ext cx="49392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02120" y="36108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477000" y="36324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GATA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609280" y="36108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GATA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72360" y="359280"/>
                                <a:ext cx="165348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……………………………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312480" y="0"/>
                              <a:ext cx="2322720" cy="25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宋体;SimSun" w:hAnsi="宋体;SimSu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cs="宋体;SimSu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>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>8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宋体;SimSun"/>
                                    <w:color w:val="auto"/>
                                    <w:lang w:val="en-US" w:eastAsia="zh-CN" w:bidi="ar-SA"/>
                                  </w:rPr>
                                  <w:t>次，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>STR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宋体;SimSun"/>
                                    <w:color w:val="auto"/>
                                    <w:lang w:val="en-US" w:eastAsia="zh-CN" w:bidi="ar-SA"/>
                                  </w:rPr>
                                  <w:t>表示为（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>GATA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宋体;SimSun"/>
                                    <w:color w:val="auto"/>
                                    <w:lang w:val="en-US" w:eastAsia="zh-CN" w:bidi="ar-SA"/>
                                  </w:rPr>
                                  <w:t>）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vertAlign w:val="subscript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69520" y="1085760"/>
                              <a:ext cx="2322720" cy="25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重复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14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次，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STR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表示为（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GATA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）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42200" y="541080"/>
                              <a:ext cx="79884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号染色体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rot="16200000">
                              <a:off x="1766160" y="-285840"/>
                              <a:ext cx="76320" cy="2590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16200" y="0"/>
                                    <a:pt x="10800" y="900"/>
                                    <a:pt x="10800" y="1800"/>
                                  </a:cubicBezTo>
                                  <a:lnTo>
                                    <a:pt x="10800" y="9000"/>
                                  </a:lnTo>
                                  <a:cubicBezTo>
                                    <a:pt x="10800" y="9900"/>
                                    <a:pt x="5400" y="10800"/>
                                    <a:pt x="0" y="10800"/>
                                  </a:cubicBezTo>
                                  <a:cubicBezTo>
                                    <a:pt x="5400" y="10800"/>
                                    <a:pt x="10800" y="11700"/>
                                    <a:pt x="10800" y="12600"/>
                                  </a:cubicBezTo>
                                  <a:lnTo>
                                    <a:pt x="10800" y="19800"/>
                                  </a:lnTo>
                                  <a:cubicBezTo>
                                    <a:pt x="10800" y="20700"/>
                                    <a:pt x="16200" y="21600"/>
                                    <a:pt x="21600" y="21600"/>
                                  </a:cubicBezTo>
                                </a:path>
                              </a:pathLst>
                            </a:custGeom>
                            <a:noFill/>
                            <a:ln w="158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445400" y="-641520"/>
                              <a:ext cx="76320" cy="182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16200" y="0"/>
                                    <a:pt x="10800" y="900"/>
                                    <a:pt x="10800" y="1800"/>
                                  </a:cubicBezTo>
                                  <a:lnTo>
                                    <a:pt x="10800" y="9000"/>
                                  </a:lnTo>
                                  <a:cubicBezTo>
                                    <a:pt x="10800" y="9900"/>
                                    <a:pt x="5400" y="10800"/>
                                    <a:pt x="0" y="10800"/>
                                  </a:cubicBezTo>
                                  <a:cubicBezTo>
                                    <a:pt x="5400" y="10800"/>
                                    <a:pt x="10800" y="11700"/>
                                    <a:pt x="10800" y="12600"/>
                                  </a:cubicBezTo>
                                  <a:lnTo>
                                    <a:pt x="10800" y="19800"/>
                                  </a:lnTo>
                                  <a:cubicBezTo>
                                    <a:pt x="10800" y="20700"/>
                                    <a:pt x="16200" y="21600"/>
                                    <a:pt x="21600" y="21600"/>
                                  </a:cubicBezTo>
                                </a:path>
                              </a:pathLst>
                            </a:custGeom>
                            <a:noFill/>
                            <a:ln w="158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280" y="1270800"/>
                            <a:ext cx="4437360" cy="13640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348480"/>
                              <a:ext cx="3713400" cy="59256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1029960" y="0"/>
                                <a:ext cx="7970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……………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20240" y="342720"/>
                                <a:ext cx="16542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……………………………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8360" y="1152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05080" y="11520"/>
                                <a:ext cx="140832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3336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79880" y="34488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544680" y="180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ATAG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820880" y="396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ATAG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25600" y="34092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ATAG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687040" y="34092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ATAG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398520" y="0"/>
                              <a:ext cx="2323440" cy="25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重复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11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次，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STR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表示为（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ATAG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）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89120" y="1104840"/>
                              <a:ext cx="2323440" cy="25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重复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13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次，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STR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表示为（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ATAG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）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60920" y="566280"/>
                              <a:ext cx="67644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宋体;SimSun" w:hAnsi="宋体;SimSun" w:cs="宋体;SimSun"/>
                                    <w:color w:val="auto"/>
                                    <w:lang w:val="en-US" w:eastAsia="zh-CN" w:bidi="ar-SA"/>
                                  </w:rPr>
                                  <w:t>染色体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rot="16200000">
                              <a:off x="1796040" y="-257760"/>
                              <a:ext cx="76320" cy="2590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16200" y="0"/>
                                    <a:pt x="10800" y="900"/>
                                    <a:pt x="10800" y="1800"/>
                                  </a:cubicBezTo>
                                  <a:lnTo>
                                    <a:pt x="10800" y="9000"/>
                                  </a:lnTo>
                                  <a:cubicBezTo>
                                    <a:pt x="10800" y="9900"/>
                                    <a:pt x="5400" y="10800"/>
                                    <a:pt x="0" y="10800"/>
                                  </a:cubicBezTo>
                                  <a:cubicBezTo>
                                    <a:pt x="5400" y="10800"/>
                                    <a:pt x="10800" y="11700"/>
                                    <a:pt x="10800" y="12600"/>
                                  </a:cubicBezTo>
                                  <a:lnTo>
                                    <a:pt x="10800" y="19800"/>
                                  </a:lnTo>
                                  <a:cubicBezTo>
                                    <a:pt x="10800" y="20700"/>
                                    <a:pt x="16200" y="21600"/>
                                    <a:pt x="21600" y="21600"/>
                                  </a:cubicBezTo>
                                </a:path>
                              </a:pathLst>
                            </a:custGeom>
                            <a:noFill/>
                            <a:ln w="158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370520" y="-628560"/>
                              <a:ext cx="76320" cy="182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16200" y="0"/>
                                    <a:pt x="10800" y="900"/>
                                    <a:pt x="10800" y="1800"/>
                                  </a:cubicBezTo>
                                  <a:lnTo>
                                    <a:pt x="10800" y="9000"/>
                                  </a:lnTo>
                                  <a:cubicBezTo>
                                    <a:pt x="10800" y="9900"/>
                                    <a:pt x="5400" y="10800"/>
                                    <a:pt x="0" y="10800"/>
                                  </a:cubicBezTo>
                                  <a:cubicBezTo>
                                    <a:pt x="5400" y="10800"/>
                                    <a:pt x="10800" y="11700"/>
                                    <a:pt x="10800" y="12600"/>
                                  </a:cubicBezTo>
                                  <a:lnTo>
                                    <a:pt x="10800" y="19800"/>
                                  </a:lnTo>
                                  <a:cubicBezTo>
                                    <a:pt x="10800" y="20700"/>
                                    <a:pt x="16200" y="21600"/>
                                    <a:pt x="21600" y="21600"/>
                                  </a:cubicBezTo>
                                </a:path>
                              </a:pathLst>
                            </a:custGeom>
                            <a:noFill/>
                            <a:ln w="158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.15pt;margin-top:-41.8pt;width:357.55pt;height:334.2pt" coordorigin="203,-836" coordsize="7151,6684">
                <v:group id="shape_0" style="position:absolute;left:203;top:-836;width:7151;height:4638">
                  <v:group id="shape_0" style="position:absolute;left:203;top:689;width:5756;height:974">
                    <v:rect id="shape_0" fillcolor="#333333" stroked="f" o:allowincell="f" style="position:absolute;left:215;top:718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fillcolor="white" stroked="t" o:allowincell="f" style="position:absolute;left:1044;top:718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GATA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3068;top:721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GATA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808;top:721;width:1254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……………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rect id="shape_0" fillcolor="#333333" stroked="f" o:allowincell="f" style="position:absolute;left:3846;top:689;width:2112;height:446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203;top:1273;width:777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5088;top:1258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shape id="shape_0" fillcolor="white" stroked="t" o:allowincell="f" style="position:absolute;left:954;top:1261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GATA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4312;top:1258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GATA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734;top:1255;width:2603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……………………………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  <v:shape id="shape_0" fillcolor="white" stroked="f" o:allowincell="f" style="position:absolute;left:695;top:175;width:3657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cs="宋体;SimSun" w:ascii="Times New Roman" w:hAnsi="Times New Roman"/>
                              <w:color w:val="auto"/>
                              <w:lang w:val="en-US" w:eastAsia="zh-CN" w:bidi="ar-SA"/>
                            </w:rPr>
                            <w:t>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>8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宋体;SimSun"/>
                              <w:color w:val="auto"/>
                              <w:lang w:val="en-US" w:eastAsia="zh-CN" w:bidi="ar-SA"/>
                            </w:rPr>
                            <w:t>次，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>STR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宋体;SimSun"/>
                              <w:color w:val="auto"/>
                              <w:lang w:val="en-US" w:eastAsia="zh-CN" w:bidi="ar-SA"/>
                            </w:rPr>
                            <w:t>表示为（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>GATA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宋体;SimSun"/>
                              <w:color w:val="auto"/>
                              <w:lang w:val="en-US" w:eastAsia="zh-CN" w:bidi="ar-SA"/>
                            </w:rPr>
                            <w:t>）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vertAlign w:val="subscript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>8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1100;top:1885;width:3657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重复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14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次，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STR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表示为（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GATA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）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14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6096;top:1027;width:1257;height:34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7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号染色体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type id="_x0000_t87" coordsize="21600,21600" o:spt="87" adj="10800,1800" path="m21600,21600qx@12@13l10800@5qy@14@15qx@16@17l10800@4qy@18@19xnsem21600,21600qx@12@13l10800@5qy@14@15qx@16@17l10800@4qy@18@19nfe">
                    <v:stroke joinstyle="miter"/>
                    <v:formulas>
                      <v:f eqn="val #0"/>
                      <v:f eqn="sum 21600 0 @0"/>
                      <v:f eqn="min @1 @0"/>
                      <v:f eqn="prod @2 1 2"/>
                      <v:f eqn="val #1"/>
                      <v:f eqn="sum @0 @4 0"/>
                      <v:f eqn="sumangle 0 45 0"/>
                      <v:f eqn="cos 10800 @6"/>
                      <v:f eqn="sin @4 @6"/>
                      <v:f eqn="sum width 0 @7"/>
                      <v:f eqn="sum @4 0 @8"/>
                      <v:f eqn="sum height @8 @4"/>
                      <v:f eqn="sum 0 21600 10800"/>
                      <v:f eqn="sum 0 21600 @4"/>
                      <v:f eqn="sum 0 10800 10800"/>
                      <v:f eqn="sum 0 @5 @4"/>
                      <v:f eqn="sum 10800 @14 0"/>
                      <v:f eqn="sum 0 @15 @4"/>
                      <v:f eqn="sum 10800 10800 0"/>
                      <v:f eqn="sum 0 @4 @4"/>
                    </v:formulas>
                    <v:path gradientshapeok="t" o:connecttype="rect" textboxrect="@9,@10,21600,@11"/>
                    <v:handles>
                      <v:h position="10800,@4"/>
                      <v:h position="0,@0"/>
                    </v:handles>
                  </v:shapetype>
                  <v:shape id="shape_0" stroked="t" o:allowincell="f" style="position:absolute;left:2984;top:-275;width:119;height:4078;mso-wrap-style:none;v-text-anchor:middle;rotation:270" type="_x0000_t87">
                    <v:fill o:detectmouseclick="t" on="false"/>
                    <v:stroke color="black" weight="15840" joinstyle="miter" endcap="flat"/>
                    <w10:wrap type="none"/>
                  </v:shape>
                  <v:shape id="shape_0" stroked="t" o:allowincell="f" style="position:absolute;left:2479;top:-835;width:119;height:2878;mso-wrap-style:none;v-text-anchor:middle;rotation:90" type="_x0000_t87">
                    <v:fill o:detectmouseclick="t" on="false"/>
                    <v:stroke color="black" weight="15840" joinstyle="miter" endcap="flat"/>
                    <w10:wrap type="none"/>
                  </v:shape>
                </v:group>
                <v:group id="shape_0" style="position:absolute;left:230;top:1187;width:6988;height:4663">
                  <v:group id="shape_0" style="position:absolute;left:230;top:2725;width:5848;height:933">
                    <v:shape id="shape_0" fillcolor="white" stroked="t" o:allowincell="f" style="position:absolute;left:1852;top:2725;width:1254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……………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837;top:3265;width:2604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……………………………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rect id="shape_0" fillcolor="#333333" stroked="f" o:allowincell="f" style="position:absolute;left:259;top:2743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3860;top:2743;width:2217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230;top:3250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5238;top:3268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shape id="shape_0" fillcolor="white" stroked="t" o:allowincell="f" style="position:absolute;left:1088;top:2728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ATAG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3098;top:2731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ATAG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058;top:3262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ATAG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4462;top:3262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ATAG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  <v:shape id="shape_0" fillcolor="white" stroked="f" o:allowincell="f" style="position:absolute;left:858;top:2176;width:3658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重复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11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次，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STR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表示为（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ATAG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）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11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1473;top:3916;width:3658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重复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13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次，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STR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表示为（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ATAG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）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13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6153;top:3068;width:1064;height:34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宋体;SimSun" w:hAnsi="宋体;SimSun" w:cs="宋体;SimSun"/>
                              <w:color w:val="auto"/>
                              <w:lang w:val="en-US" w:eastAsia="zh-CN" w:bidi="ar-SA"/>
                            </w:rPr>
                            <w:t>染色体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t" o:allowincell="f" style="position:absolute;left:3059;top:1771;width:119;height:4079;mso-wrap-style:none;v-text-anchor:middle;rotation:270" type="_x0000_t87">
                    <v:fill o:detectmouseclick="t" on="false"/>
                    <v:stroke color="black" weight="15840" joinstyle="miter" endcap="flat"/>
                    <w10:wrap type="none"/>
                  </v:shape>
                  <v:shape id="shape_0" stroked="t" o:allowincell="f" style="position:absolute;left:2388;top:1187;width:119;height:2878;mso-wrap-style:none;v-text-anchor:middle;rotation:90" type="_x0000_t87">
                    <v:fill o:detectmouseclick="t" on="false"/>
                    <v:stroke color="black" weight="15840" joinstyle="miter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20"/>
        <w:rPr/>
      </w:pPr>
      <w:r>
        <w:rPr/>
        <w:t>A.</w:t>
      </w:r>
      <w:r>
        <w:rPr>
          <w:rFonts w:cs="宋体;SimSun"/>
        </w:rPr>
        <w:t>筛选出用于亲子鉴定的</w:t>
      </w:r>
      <w:r>
        <w:rPr/>
        <w:t>STR</w:t>
      </w:r>
      <w:r>
        <w:rPr>
          <w:rFonts w:cs="宋体;SimSun"/>
        </w:rPr>
        <w:t>应具有不易发生变异的特点</w:t>
      </w:r>
    </w:p>
    <w:p>
      <w:pPr>
        <w:pStyle w:val="Normal"/>
        <w:spacing w:lineRule="auto" w:line="300"/>
        <w:ind w:firstLine="420"/>
        <w:rPr/>
      </w:pPr>
      <w:r>
        <w:rPr/>
        <w:t>B.</w:t>
      </w:r>
      <w:r>
        <w:rPr>
          <w:rFonts w:cs="宋体;SimSun"/>
        </w:rPr>
        <w:t>为保证亲子鉴定的准确率，应选择足够数量不同位点的</w:t>
      </w:r>
      <w:r>
        <w:rPr/>
        <w:t>STR</w:t>
      </w:r>
      <w:r>
        <w:rPr>
          <w:rFonts w:cs="宋体;SimSun"/>
        </w:rPr>
        <w:t>进行检测</w:t>
      </w:r>
    </w:p>
    <w:p>
      <w:pPr>
        <w:pStyle w:val="Normal"/>
        <w:spacing w:lineRule="auto" w:line="300"/>
        <w:ind w:firstLine="420"/>
        <w:rPr/>
      </w:pPr>
      <w:r>
        <w:rPr/>
        <w:t>C.</w:t>
      </w:r>
      <w:r>
        <w:rPr>
          <w:rFonts w:cs="宋体;SimSun"/>
        </w:rPr>
        <w:t>有丝分裂时，图中（</w:t>
      </w:r>
      <w:r>
        <w:rPr/>
        <w:t>GATA</w:t>
      </w:r>
      <w:r>
        <w:rPr>
          <w:rFonts w:cs="宋体;SimSun"/>
        </w:rPr>
        <w:t>）</w:t>
      </w:r>
      <w:r>
        <w:rPr>
          <w:vertAlign w:val="subscript"/>
        </w:rPr>
        <w:t>8</w:t>
      </w:r>
      <w:r>
        <w:rPr>
          <w:rFonts w:cs="宋体;SimSun"/>
        </w:rPr>
        <w:t>和（</w:t>
      </w:r>
      <w:r>
        <w:rPr/>
        <w:t>GATA</w:t>
      </w:r>
      <w:r>
        <w:rPr>
          <w:rFonts w:cs="宋体;SimSun"/>
        </w:rPr>
        <w:t>）</w:t>
      </w:r>
      <w:r>
        <w:rPr>
          <w:vertAlign w:val="subscript"/>
        </w:rPr>
        <w:t>14</w:t>
      </w:r>
      <w:r>
        <w:rPr>
          <w:rFonts w:cs="宋体;SimSun"/>
        </w:rPr>
        <w:t>分别分配到两个子细胞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;SimSun"/>
        </w:rPr>
        <w:t>该女性的儿子</w:t>
      </w:r>
      <w:r>
        <w:rPr/>
        <w:t>X</w:t>
      </w:r>
      <w:r>
        <w:rPr>
          <w:rFonts w:cs="宋体;SimSun"/>
        </w:rPr>
        <w:t>染色体含有图中（</w:t>
      </w:r>
      <w:r>
        <w:rPr/>
        <w:t>ATAG</w:t>
      </w:r>
      <w:r>
        <w:rPr>
          <w:rFonts w:cs="宋体;SimSun"/>
        </w:rPr>
        <w:t>）</w:t>
      </w:r>
      <w:r>
        <w:rPr>
          <w:vertAlign w:val="subscript"/>
        </w:rPr>
        <w:t>13</w:t>
      </w:r>
      <w:r>
        <w:rPr>
          <w:rFonts w:cs="宋体;SimSun"/>
        </w:rPr>
        <w:t>的概率是</w:t>
      </w:r>
      <w:r>
        <w:rPr/>
        <w:t>1/2</w:t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/>
        <w:t>C</w:t>
      </w:r>
    </w:p>
    <w:p>
      <w:pPr>
        <w:pStyle w:val="Normal"/>
        <w:spacing w:lineRule="auto" w:line="300"/>
        <w:ind w:firstLine="420"/>
        <w:rPr>
          <w:rFonts w:cs="宋体;SimSun"/>
        </w:rPr>
      </w:pPr>
      <w:r>
        <w:rPr>
          <w:rFonts w:cs="宋体;SimSun"/>
          <w:szCs w:val="21"/>
        </w:rPr>
        <w:t>【解析】</w:t>
      </w:r>
      <w:r>
        <w:rPr>
          <w:rFonts w:cs="宋体;SimSun"/>
        </w:rPr>
        <w:t>作为亲子鉴定的标志，应能在前后代之间保持稳定性，所以</w:t>
      </w:r>
      <w:r>
        <w:rPr/>
        <w:t>STR</w:t>
      </w:r>
      <w:r>
        <w:rPr>
          <w:rFonts w:cs="宋体;SimSun"/>
        </w:rPr>
        <w:t>应具有不易发生变异的特点，</w:t>
      </w:r>
      <w:r>
        <w:rPr/>
        <w:t>A</w:t>
      </w:r>
      <w:r>
        <w:rPr>
          <w:rFonts w:cs="宋体;SimSun"/>
        </w:rPr>
        <w:t>正确；不易变异不等于不变异，为了减少由于变异等产生的误差，应选择足够数量不同位点的</w:t>
      </w:r>
      <w:r>
        <w:rPr/>
        <w:t>STR</w:t>
      </w:r>
      <w:r>
        <w:rPr>
          <w:rFonts w:cs="宋体;SimSun"/>
        </w:rPr>
        <w:t>进行检测，</w:t>
      </w:r>
      <w:r>
        <w:rPr/>
        <w:t>B</w:t>
      </w:r>
      <w:r>
        <w:rPr>
          <w:rFonts w:cs="宋体;SimSun"/>
        </w:rPr>
        <w:t>正确；图中（</w:t>
      </w:r>
      <w:r>
        <w:rPr/>
        <w:t>GATA</w:t>
      </w:r>
      <w:r>
        <w:rPr>
          <w:rFonts w:cs="宋体;SimSun"/>
        </w:rPr>
        <w:t>）</w:t>
      </w:r>
      <w:r>
        <w:rPr>
          <w:vertAlign w:val="subscript"/>
        </w:rPr>
        <w:t>8</w:t>
      </w:r>
      <w:r>
        <w:rPr>
          <w:rFonts w:cs="宋体;SimSun"/>
        </w:rPr>
        <w:t>和（</w:t>
      </w:r>
      <w:r>
        <w:rPr/>
        <w:t>GATA</w:t>
      </w:r>
      <w:r>
        <w:rPr>
          <w:rFonts w:cs="宋体;SimSun"/>
        </w:rPr>
        <w:t>）</w:t>
      </w:r>
      <w:r>
        <w:rPr>
          <w:vertAlign w:val="subscript"/>
        </w:rPr>
        <w:t>14</w:t>
      </w:r>
      <w:r>
        <w:rPr>
          <w:rFonts w:cs="宋体;SimSun"/>
        </w:rPr>
        <w:t>均是位于</w:t>
      </w:r>
      <w:r>
        <w:rPr/>
        <w:t>7</w:t>
      </w:r>
      <w:r>
        <w:rPr>
          <w:rFonts w:cs="宋体;SimSun"/>
        </w:rPr>
        <w:t>号这对同源染色体上，有丝分裂时，二者不分离，要进入一个子细胞中去，</w:t>
      </w:r>
      <w:r>
        <w:rPr/>
        <w:t>C</w:t>
      </w:r>
      <w:r>
        <w:rPr>
          <w:rFonts w:cs="宋体;SimSun"/>
        </w:rPr>
        <w:t>错误；在进行减数分裂形成卵细胞时，同源染色体彼此分开，即该女性的两条</w:t>
      </w:r>
      <w:r>
        <w:rPr/>
        <w:t>X</w:t>
      </w:r>
      <w:r>
        <w:rPr>
          <w:rFonts w:cs="宋体;SimSun"/>
        </w:rPr>
        <w:t>染色体彼此分开，分别进入两个子细胞中去，故形成含有图中（</w:t>
      </w:r>
      <w:r>
        <w:rPr/>
        <w:t>ATAG</w:t>
      </w:r>
      <w:r>
        <w:rPr>
          <w:rFonts w:cs="宋体;SimSun"/>
        </w:rPr>
        <w:t>）</w:t>
      </w:r>
      <w:r>
        <w:rPr>
          <w:vertAlign w:val="subscript"/>
        </w:rPr>
        <w:t>13</w:t>
      </w:r>
      <w:r>
        <w:rPr>
          <w:rFonts w:cs="宋体;SimSun"/>
        </w:rPr>
        <w:t>的概率是</w:t>
      </w:r>
      <w:r>
        <w:rPr/>
        <w:t>1/2</w:t>
      </w:r>
      <w:r>
        <w:rPr>
          <w:rFonts w:cs="宋体;SimSun"/>
        </w:rPr>
        <w:t>，</w:t>
      </w:r>
      <w:r>
        <w:rPr/>
        <w:t>D</w:t>
      </w:r>
      <w:r>
        <w:rPr>
          <w:rFonts w:cs="宋体;SimSun"/>
        </w:rPr>
        <w:t>正确。</w:t>
      </w:r>
    </w:p>
    <w:p>
      <w:pPr>
        <w:pStyle w:val="Normal"/>
        <w:spacing w:lineRule="auto" w:line="300"/>
        <w:ind w:firstLine="420"/>
        <w:rPr>
          <w:rFonts w:cs="宋体;SimSun"/>
        </w:rPr>
      </w:pPr>
      <w:r>
        <w:rPr>
          <w:rFonts w:cs="宋体;SimSun"/>
        </w:rPr>
      </w:r>
    </w:p>
    <w:p>
      <w:pPr>
        <w:pStyle w:val="Normal"/>
        <w:spacing w:lineRule="auto" w:line="300"/>
        <w:ind w:firstLine="420"/>
        <w:jc w:val="left"/>
        <w:rPr/>
      </w:pPr>
      <w:r>
        <w:rPr>
          <w:szCs w:val="21"/>
        </w:rPr>
        <w:t>26</w:t>
      </w:r>
      <w:r>
        <w:rPr>
          <w:szCs w:val="21"/>
        </w:rPr>
        <w:t>．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26</w:t>
      </w:r>
      <w:r>
        <w:rPr>
          <w:rFonts w:cs="宋体;SimSun"/>
          <w:color w:val="000000"/>
          <w:szCs w:val="21"/>
        </w:rPr>
        <w:t>，</w:t>
      </w:r>
      <w:r>
        <w:rPr>
          <w:szCs w:val="21"/>
        </w:rPr>
        <w:t>12</w:t>
      </w:r>
      <w:r>
        <w:rPr>
          <w:szCs w:val="21"/>
        </w:rPr>
        <w:t>分）氢是一种清洁能源。莱茵衣藻能利用光能将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分解成</w:t>
      </w:r>
      <w:r>
        <w:rPr/>
        <w:t>[H]</w:t>
      </w:r>
      <w:r>
        <w:rPr>
          <w:szCs w:val="21"/>
        </w:rPr>
        <w:t>和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/>
        <w:t>[H]</w:t>
      </w:r>
      <w:r>
        <w:rPr/>
        <w:t>可参与暗反应，低氧时叶绿体中的产氢酶活性提高，使</w:t>
      </w:r>
      <w:r>
        <w:rPr/>
        <w:t>[H]</w:t>
      </w:r>
      <w:r>
        <w:rPr/>
        <w:t>转变为氢气。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（</w:t>
      </w:r>
      <w:r>
        <w:rPr/>
        <w:t>1</w:t>
      </w:r>
      <w:r>
        <w:rPr/>
        <w:t>）莱茵衣藻捕获光能的场所在叶绿体的</w:t>
      </w:r>
      <w:r>
        <w:rPr>
          <w:rFonts w:eastAsia="Times New Roman"/>
          <w:u w:val="single"/>
        </w:rPr>
        <w:t xml:space="preserve">                   </w:t>
      </w:r>
      <w:r>
        <w:rPr/>
        <w:t>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CCCP</w:t>
      </w:r>
      <w:r>
        <w:rPr/>
        <w:t>（一种化学物质）能抑制莱茵衣藻的光合作用，诱导其产氢。已知缺硫也能抑制莱茵衣藻的光合作用。为探究缺硫对莱茵衣藻产氢的影响，设完全培养液（</w:t>
      </w:r>
      <w:r>
        <w:rPr/>
        <w:t>A</w:t>
      </w:r>
      <w:r>
        <w:rPr/>
        <w:t>组）和缺硫培养液（</w:t>
      </w:r>
      <w:r>
        <w:rPr/>
        <w:t>B</w:t>
      </w:r>
      <w:r>
        <w:rPr/>
        <w:t>组），在特定条件培养莱茵衣藻，一定时间后检测产氢总量。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实验结果：</w:t>
      </w:r>
      <w:r>
        <w:rPr/>
        <w:t>B</w:t>
      </w:r>
      <w:r>
        <w:rPr/>
        <w:t>组＞</w:t>
      </w:r>
      <w:r>
        <w:rPr/>
        <w:t>A</w:t>
      </w:r>
      <w:r>
        <w:rPr/>
        <w:t>组，说明缺硫对莱茵衣藻产氢有</w:t>
      </w:r>
      <w:r>
        <w:rPr>
          <w:rFonts w:eastAsia="Times New Roman"/>
          <w:u w:val="single"/>
        </w:rPr>
        <w:t xml:space="preserve">             </w:t>
      </w:r>
      <w:r>
        <w:rPr/>
        <w:t>作用。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为探究</w:t>
      </w:r>
      <w:r>
        <w:rPr/>
        <w:t>CCCP</w:t>
      </w:r>
      <w:r>
        <w:rPr/>
        <w:t>、缺硫两种因素对莱茵衣藻产氢的影响及其相互关系，则需增设两实验组，其培养液为</w:t>
      </w:r>
      <w:r>
        <w:rPr>
          <w:rFonts w:eastAsia="Times New Roman"/>
          <w:u w:val="single"/>
        </w:rPr>
        <w:t xml:space="preserve">             </w:t>
      </w:r>
      <w:r>
        <w:rPr/>
        <w:t>和</w:t>
      </w:r>
      <w:r>
        <w:rPr>
          <w:rFonts w:eastAsia="Times New Roman"/>
          <w:u w:val="single"/>
        </w:rPr>
        <w:t xml:space="preserve">              </w:t>
      </w:r>
      <w:r>
        <w:rPr/>
        <w:t>。</w:t>
      </w:r>
    </w:p>
    <w:p>
      <w:pPr>
        <w:pStyle w:val="Normal"/>
        <w:spacing w:lineRule="auto" w:line="300"/>
        <w:ind w:firstLine="420"/>
        <w:jc w:val="left"/>
        <w:rPr>
          <w:u w:val="single"/>
        </w:rPr>
      </w:pPr>
      <w:r>
        <w:rPr/>
        <w:t>（</w:t>
      </w:r>
      <w:r>
        <w:rPr/>
        <w:t>3</w:t>
      </w:r>
      <w:r>
        <w:rPr/>
        <w:t>）产氢会导致莱茵衣藻生长不良，请从光合作用的物质转化角度分析其原因</w:t>
      </w:r>
      <w:r>
        <w:rPr>
          <w:rFonts w:eastAsia="Times New Roman"/>
          <w:u w:val="single"/>
        </w:rPr>
        <w:t xml:space="preserve">      </w:t>
      </w:r>
      <w:r>
        <w:rPr/>
        <w:t>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（</w:t>
      </w:r>
      <w:r>
        <w:rPr/>
        <w:t>4</w:t>
      </w:r>
      <w:r>
        <w:rPr/>
        <w:t>）在自然条件下，莱茵衣藻几乎不产氢的原因是</w:t>
      </w:r>
      <w:r>
        <w:rPr>
          <w:rFonts w:eastAsia="Times New Roman"/>
          <w:u w:val="single"/>
        </w:rPr>
        <w:t xml:space="preserve">                 </w:t>
      </w:r>
      <w:r>
        <w:rPr/>
        <w:t>，因此可通过筛选高耐氧产氢藻株以提高莱因衣藻的产氢量。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【答案】（</w:t>
      </w:r>
      <w:r>
        <w:rPr>
          <w:szCs w:val="21"/>
        </w:rPr>
        <w:t>12</w:t>
      </w:r>
      <w:r>
        <w:rPr>
          <w:szCs w:val="21"/>
        </w:rPr>
        <w:t>分）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）类囊体薄膜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）促进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添加</w:t>
      </w:r>
      <w:r>
        <w:rPr>
          <w:szCs w:val="21"/>
        </w:rPr>
        <w:t>CCCP</w:t>
      </w:r>
      <w:r>
        <w:rPr>
          <w:szCs w:val="21"/>
        </w:rPr>
        <w:t>的完全培养液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添加</w:t>
      </w:r>
      <w:r>
        <w:rPr>
          <w:szCs w:val="21"/>
        </w:rPr>
        <w:t>CCCP</w:t>
      </w:r>
      <w:r>
        <w:rPr>
          <w:szCs w:val="21"/>
        </w:rPr>
        <w:t>的</w:t>
      </w:r>
      <w:r>
        <w:rPr/>
        <w:t>缺硫</w:t>
      </w:r>
      <w:r>
        <w:rPr>
          <w:szCs w:val="21"/>
        </w:rPr>
        <w:t>培养液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）莱茵衣藻光反应产生的</w:t>
      </w:r>
      <w:r>
        <w:rPr/>
        <w:t>[H]</w:t>
      </w:r>
      <w:r>
        <w:rPr/>
        <w:t>转变化</w:t>
      </w:r>
      <w:r>
        <w:rPr/>
        <w:t>H</w:t>
      </w:r>
      <w:r>
        <w:rPr>
          <w:vertAlign w:val="subscript"/>
        </w:rPr>
        <w:t>2</w:t>
      </w:r>
      <w:r>
        <w:rPr/>
        <w:t>，参与暗反应的</w:t>
      </w:r>
      <w:r>
        <w:rPr/>
        <w:t>[H]</w:t>
      </w:r>
      <w:r>
        <w:rPr/>
        <w:t>减少，有机物的生成量减少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）氧气抑制产氢酶的活性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  <w:t>【解析】（</w:t>
      </w:r>
      <w:r>
        <w:rPr>
          <w:szCs w:val="21"/>
        </w:rPr>
        <w:t>1</w:t>
      </w:r>
      <w:r>
        <w:rPr>
          <w:szCs w:val="21"/>
        </w:rPr>
        <w:t>）光合作用分光反应和暗反应，光反应吸收光能，其中光反应的场所是叶绿体的类囊体薄膜。</w:t>
      </w:r>
    </w:p>
    <w:p>
      <w:pPr>
        <w:pStyle w:val="Normal"/>
        <w:spacing w:lineRule="auto" w:line="300"/>
        <w:ind w:firstLine="420"/>
        <w:jc w:val="left"/>
        <w:rPr/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）本题是考查考生对实验设计的相关实验知识。完全培养液的</w:t>
      </w:r>
      <w:r>
        <w:rPr>
          <w:szCs w:val="21"/>
        </w:rPr>
        <w:t>A</w:t>
      </w:r>
      <w:r>
        <w:rPr>
          <w:szCs w:val="21"/>
        </w:rPr>
        <w:t>组即标准对照组与</w:t>
      </w:r>
      <w:r>
        <w:rPr>
          <w:szCs w:val="21"/>
        </w:rPr>
        <w:t>B</w:t>
      </w:r>
      <w:r>
        <w:rPr>
          <w:szCs w:val="21"/>
        </w:rPr>
        <w:t>组缺硫的实验组相比，产氢总量结果是</w:t>
      </w:r>
      <w:r>
        <w:rPr/>
        <w:t>B</w:t>
      </w:r>
      <w:r>
        <w:rPr/>
        <w:t>组＞</w:t>
      </w:r>
      <w:r>
        <w:rPr/>
        <w:t>A</w:t>
      </w:r>
      <w:r>
        <w:rPr/>
        <w:t>组，说明</w:t>
      </w:r>
      <w:r>
        <w:rPr/>
        <w:t>B</w:t>
      </w:r>
      <w:r>
        <w:rPr/>
        <w:t>组</w:t>
      </w:r>
      <w:r>
        <w:rPr>
          <w:szCs w:val="21"/>
        </w:rPr>
        <w:t>缺硫组产氢多，说明缺硫促进产氢。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实验设计中应遵循单因子变量和等量原则。在探究</w:t>
      </w:r>
      <w:r>
        <w:rPr/>
        <w:t>CCCP</w:t>
      </w:r>
      <w:r>
        <w:rPr/>
        <w:t>有无对莱茵衣藻产氢的影响时，可设置完全培养液和加</w:t>
      </w:r>
      <w:r>
        <w:rPr/>
        <w:t>CCCP</w:t>
      </w:r>
      <w:r>
        <w:rPr/>
        <w:t>培养液二个培养实验，为探究</w:t>
      </w:r>
      <w:r>
        <w:rPr/>
        <w:t>CCCP</w:t>
      </w:r>
      <w:r>
        <w:rPr/>
        <w:t>、缺硫两种因素对莱茵衣藻产氢的影响及其相互关系，可在此基础上再：</w:t>
      </w:r>
      <w:r>
        <w:rPr>
          <w:szCs w:val="21"/>
        </w:rPr>
        <w:t>添加</w:t>
      </w:r>
      <w:r>
        <w:rPr>
          <w:szCs w:val="21"/>
        </w:rPr>
        <w:t>CCCP</w:t>
      </w:r>
      <w:r>
        <w:rPr>
          <w:szCs w:val="21"/>
        </w:rPr>
        <w:t>的</w:t>
      </w:r>
      <w:r>
        <w:rPr/>
        <w:t>缺硫</w:t>
      </w:r>
      <w:r>
        <w:rPr>
          <w:szCs w:val="21"/>
        </w:rPr>
        <w:t>培养液的培养实验。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）结合题意，根据光合作用的全过程，若反应产氢的话，会导致光反应产生的</w:t>
      </w:r>
      <w:r>
        <w:rPr/>
        <w:t>[H]</w:t>
      </w:r>
      <w:r>
        <w:rPr/>
        <w:t>减少，</w:t>
      </w:r>
      <w:r>
        <w:rPr>
          <w:szCs w:val="21"/>
        </w:rPr>
        <w:t>那么暗反应中即</w:t>
      </w:r>
      <w:r>
        <w:rPr/>
        <w:t>C</w:t>
      </w:r>
      <w:r>
        <w:rPr>
          <w:vertAlign w:val="subscript"/>
        </w:rPr>
        <w:t>3</w:t>
      </w:r>
      <w:r>
        <w:rPr/>
        <w:t>→</w:t>
      </w:r>
      <w:r>
        <w:rPr/>
        <w:t>（</w:t>
      </w:r>
      <w:r>
        <w:rPr/>
        <w:t>CH</w:t>
      </w:r>
      <w:r>
        <w:rPr>
          <w:vertAlign w:val="subscript"/>
        </w:rPr>
        <w:t>2</w:t>
      </w:r>
      <w:r>
        <w:rPr/>
        <w:t>O</w:t>
      </w:r>
      <w:r>
        <w:rPr/>
        <w:t>）</w:t>
      </w:r>
      <w:r>
        <w:rPr>
          <w:szCs w:val="21"/>
        </w:rPr>
        <w:t>减弱</w:t>
      </w:r>
      <w:r>
        <w:rPr/>
        <w:t>，导致还原产物减少，从而莱茵衣藻生长不良。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）莱茵衣藻的氢化酶对氧气极为敏感，当有氧存在时抑制了氢化酶的活性，使氢产生减少。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jc w:val="left"/>
        <w:rPr/>
      </w:pPr>
      <w:r>
        <w:rPr>
          <w:szCs w:val="21"/>
        </w:rPr>
        <w:t>27</w:t>
      </w:r>
      <w:r>
        <w:rPr>
          <w:szCs w:val="21"/>
        </w:rPr>
        <w:t>．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27</w:t>
      </w:r>
      <w:r>
        <w:rPr>
          <w:rFonts w:cs="宋体;SimSun"/>
          <w:color w:val="000000"/>
          <w:szCs w:val="21"/>
        </w:rPr>
        <w:t>，</w:t>
      </w:r>
      <w:r>
        <w:rPr>
          <w:szCs w:val="21"/>
        </w:rPr>
        <w:t>12</w:t>
      </w:r>
      <w:r>
        <w:rPr>
          <w:szCs w:val="21"/>
        </w:rPr>
        <w:t>分）为研究汽车尾气中可吸入颗粒物对人体成熟</w:t>
      </w:r>
      <w:r>
        <w:rPr>
          <w:szCs w:val="21"/>
        </w:rPr>
        <w:t>T</w:t>
      </w:r>
      <w:r>
        <w:rPr>
          <w:szCs w:val="21"/>
        </w:rPr>
        <w:t>淋巴细胞的影响，用含不同浓度颗粒物的培养液培养</w:t>
      </w:r>
      <w:r>
        <w:rPr>
          <w:szCs w:val="21"/>
        </w:rPr>
        <w:t>T</w:t>
      </w:r>
      <w:r>
        <w:rPr>
          <w:szCs w:val="21"/>
        </w:rPr>
        <w:t>淋巴细胞，</w:t>
      </w:r>
      <w:r>
        <w:rPr>
          <w:szCs w:val="21"/>
        </w:rPr>
        <w:t>48</w:t>
      </w:r>
      <w:r>
        <w:rPr>
          <w:szCs w:val="21"/>
        </w:rPr>
        <w:t>小时后检测</w:t>
      </w:r>
      <w:r>
        <w:rPr>
          <w:szCs w:val="21"/>
        </w:rPr>
        <w:t>Na</w:t>
      </w:r>
      <w:r>
        <w:rPr>
          <w:szCs w:val="21"/>
          <w:vertAlign w:val="superscript"/>
        </w:rPr>
        <w:t>+</w:t>
      </w:r>
      <w:r>
        <w:rPr>
          <w:szCs w:val="21"/>
        </w:rPr>
        <w:t>—K</w:t>
      </w:r>
      <w:r>
        <w:rPr>
          <w:szCs w:val="21"/>
          <w:vertAlign w:val="superscript"/>
        </w:rPr>
        <w:t>+</w:t>
      </w:r>
      <w:r>
        <w:rPr/>
        <w:t>—ATP</w:t>
      </w:r>
      <w:r>
        <w:rPr/>
        <w:t>酶活性及细胞活力。实验结果如下：</w:t>
      </w:r>
    </w:p>
    <w:tbl>
      <w:tblPr>
        <w:tblW w:w="7763" w:type="dxa"/>
        <w:jc w:val="left"/>
        <w:tblInd w:w="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2066"/>
        <w:gridCol w:w="2976"/>
        <w:gridCol w:w="1985"/>
      </w:tblGrid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组别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颗粒物浓度</w:t>
            </w:r>
            <w:r>
              <w:rPr/>
              <w:t>/μg·mL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left"/>
              <w:rPr/>
            </w:pPr>
            <w:r>
              <w:rPr/>
              <w:t>Na</w:t>
            </w:r>
            <w:r>
              <w:rPr>
                <w:vertAlign w:val="superscript"/>
              </w:rPr>
              <w:t>+</w:t>
            </w:r>
            <w:r>
              <w:rPr/>
              <w:t>-K</w:t>
            </w:r>
            <w:r>
              <w:rPr>
                <w:vertAlign w:val="superscript"/>
              </w:rPr>
              <w:t>+</w:t>
            </w:r>
            <w:r>
              <w:rPr/>
              <w:t>-ATP</w:t>
            </w:r>
            <w:r>
              <w:rPr/>
              <w:t>酶活性</w:t>
            </w:r>
            <w:r>
              <w:rPr/>
              <w:t>/U·mg pro</w:t>
            </w:r>
            <w:r>
              <w:rPr>
                <w:vertAlign w:val="superscript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left"/>
              <w:rPr/>
            </w:pPr>
            <w:r>
              <w:rPr/>
              <w:t>细胞活力（相对值）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A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35.8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B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50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30.6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0.98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C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100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0.87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200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12.4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>
                <w:lang w:val="en-US" w:eastAsia="en-US"/>
              </w:rPr>
            </w:pPr>
            <w:r>
              <w:rPr/>
              <w:t>0.48</w:t>
            </w:r>
          </w:p>
        </w:tc>
      </w:tr>
    </w:tbl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  <w:t>SDH</w:t>
      </w:r>
      <w:r>
        <w:rPr>
          <w:szCs w:val="21"/>
        </w:rPr>
        <w:t>是有氧呼吸的关键酶。细胞活力通过测定各组细胞</w:t>
      </w:r>
      <w:r>
        <w:rPr>
          <w:szCs w:val="21"/>
        </w:rPr>
        <w:t>SDH</w:t>
      </w:r>
      <w:r>
        <w:rPr>
          <w:szCs w:val="21"/>
        </w:rPr>
        <w:t>总活性来表示，用于反映颗粒物对细胞的毒性，</w:t>
      </w:r>
      <w:r>
        <w:rPr>
          <w:szCs w:val="21"/>
        </w:rPr>
        <w:t>SDH</w:t>
      </w:r>
      <w:r>
        <w:rPr>
          <w:szCs w:val="21"/>
        </w:rPr>
        <w:t>总活性由该组细胞数及每个细胞的</w:t>
      </w:r>
      <w:r>
        <w:rPr>
          <w:szCs w:val="21"/>
        </w:rPr>
        <w:t>SDH</w:t>
      </w:r>
      <w:r>
        <w:rPr>
          <w:szCs w:val="21"/>
        </w:rPr>
        <w:t>酶活性共同决定。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根据表中相关信息将答题卡中柱状图补充完整。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细胞培养时，需使用血细胞计算板进行计数。请用方框在答题卡血细胞计数室图中标出计数区域。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本实验毒性评价指标所反映的颗粒物对</w:t>
      </w:r>
      <w:r>
        <w:rPr>
          <w:szCs w:val="21"/>
        </w:rPr>
        <w:t>T</w:t>
      </w:r>
      <w:r>
        <w:rPr>
          <w:szCs w:val="21"/>
        </w:rPr>
        <w:t>淋巴细胞的毒性，或表现象杀伤作用致细胞数减少，或表现为抑制了细胞的</w:t>
      </w:r>
      <w:r>
        <w:rPr>
          <w:rFonts w:eastAsia="Times New Roman"/>
          <w:szCs w:val="21"/>
          <w:u w:val="single"/>
        </w:rPr>
        <w:t xml:space="preserve">                    </w:t>
      </w:r>
      <w:r>
        <w:rPr>
          <w:szCs w:val="21"/>
          <w:u w:val="single"/>
        </w:rPr>
        <w:t>（</w:t>
      </w:r>
      <w:r>
        <w:rPr>
          <w:szCs w:val="21"/>
        </w:rPr>
        <w:t>生理过程）。实验数据表明，随着颗粒物浓度的增加，颗粒物对</w:t>
      </w:r>
      <w:r>
        <w:rPr>
          <w:szCs w:val="21"/>
        </w:rPr>
        <w:t>T</w:t>
      </w:r>
      <w:r>
        <w:rPr>
          <w:szCs w:val="21"/>
        </w:rPr>
        <w:t>淋巴细胞的毒性</w:t>
      </w:r>
      <w:r>
        <w:rPr>
          <w:rFonts w:eastAsia="Times New Roman"/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jc w:val="left"/>
        <w:rPr/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）汽车尾气中含有的多种致癌因子会损伤</w:t>
      </w:r>
      <w:r>
        <w:rPr>
          <w:szCs w:val="21"/>
        </w:rPr>
        <w:t>DNA</w:t>
      </w:r>
      <w:r>
        <w:rPr>
          <w:szCs w:val="21"/>
        </w:rPr>
        <w:t>，使</w:t>
      </w:r>
      <w:r>
        <w:rPr>
          <w:rFonts w:eastAsia="Times New Roman"/>
          <w:szCs w:val="21"/>
          <w:u w:val="single"/>
        </w:rPr>
        <w:t xml:space="preserve">          </w:t>
      </w:r>
      <w:r>
        <w:rPr>
          <w:szCs w:val="21"/>
        </w:rPr>
        <w:t>和原癌基因表达式异常。长期汽车尾气暴露的人群，其</w:t>
      </w:r>
      <w:r>
        <w:rPr>
          <w:szCs w:val="21"/>
        </w:rPr>
        <w:t>T</w:t>
      </w:r>
      <w:r>
        <w:rPr>
          <w:szCs w:val="21"/>
        </w:rPr>
        <w:t>淋巴细胞执行的</w:t>
      </w:r>
      <w:r>
        <w:rPr>
          <w:rFonts w:eastAsia="Times New Roman"/>
          <w:szCs w:val="21"/>
          <w:u w:val="single"/>
        </w:rPr>
        <w:t xml:space="preserve">             </w:t>
      </w:r>
      <w:r>
        <w:rPr>
          <w:szCs w:val="21"/>
        </w:rPr>
        <w:t>免疫功能障碍，导致识别、攻击癌细胞的能力下降，癌症发病风险提高。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【答案】（</w:t>
      </w:r>
      <w:r>
        <w:rPr>
          <w:szCs w:val="21"/>
        </w:rPr>
        <w:t>12</w:t>
      </w:r>
      <w:r>
        <w:rPr>
          <w:szCs w:val="21"/>
        </w:rPr>
        <w:t>分）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</w:p>
    <w:p>
      <w:pPr>
        <w:pStyle w:val="Normal"/>
        <w:spacing w:lineRule="auto" w:line="300" w:before="280" w:after="280"/>
        <w:ind w:firstLine="480"/>
        <w:rPr>
          <w:sz w:val="24"/>
        </w:rPr>
      </w:pPr>
      <w:r>
        <w:rPr>
          <w:sz w:val="24"/>
        </w:rPr>
        <w:drawing>
          <wp:inline distT="0" distB="0" distL="0" distR="0">
            <wp:extent cx="4601210" cy="262001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 w:before="280" w:after="280"/>
        <w:ind w:firstLine="480"/>
        <w:rPr>
          <w:sz w:val="24"/>
        </w:rPr>
      </w:pPr>
      <w:r>
        <w:rPr>
          <w:sz w:val="24"/>
        </w:rPr>
        <w:drawing>
          <wp:inline distT="0" distB="0" distL="0" distR="0">
            <wp:extent cx="2143125" cy="22955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16" r="-1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有氧呼吸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增大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抑癌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细胞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【解析】（</w:t>
      </w:r>
      <w:r>
        <w:rPr>
          <w:szCs w:val="21"/>
        </w:rPr>
        <w:t>1</w:t>
      </w:r>
      <w:r>
        <w:rPr>
          <w:szCs w:val="21"/>
        </w:rPr>
        <w:t>）汽车尾气中可吸入颗粒物浓度不同，对</w:t>
      </w:r>
      <w:r>
        <w:rPr/>
        <w:t>Na</w:t>
      </w:r>
      <w:r>
        <w:rPr>
          <w:vertAlign w:val="superscript"/>
        </w:rPr>
        <w:t>+</w:t>
      </w:r>
      <w:r>
        <w:rPr/>
        <w:t>-K</w:t>
      </w:r>
      <w:r>
        <w:rPr>
          <w:vertAlign w:val="superscript"/>
        </w:rPr>
        <w:t>+</w:t>
      </w:r>
      <w:r>
        <w:rPr/>
        <w:t>-ATP</w:t>
      </w:r>
      <w:r>
        <w:rPr/>
        <w:t>酶活性的影响程度不同，根据表中</w:t>
      </w:r>
      <w:r>
        <w:rPr/>
        <w:t>Na</w:t>
      </w:r>
      <w:r>
        <w:rPr>
          <w:vertAlign w:val="superscript"/>
        </w:rPr>
        <w:t>+</w:t>
      </w:r>
      <w:r>
        <w:rPr/>
        <w:t>-K</w:t>
      </w:r>
      <w:r>
        <w:rPr>
          <w:vertAlign w:val="superscript"/>
        </w:rPr>
        <w:t>+</w:t>
      </w:r>
      <w:r>
        <w:rPr/>
        <w:t>-ATP</w:t>
      </w:r>
      <w:r>
        <w:rPr/>
        <w:t>酶活性的数据，即可补充完整柱状图信息。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）利用血细胞计算板进行计数时可采用五点取样法进行计数。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）细胞活力即各组细胞</w:t>
      </w:r>
      <w:r>
        <w:rPr>
          <w:szCs w:val="21"/>
        </w:rPr>
        <w:t>SDH</w:t>
      </w:r>
      <w:r>
        <w:rPr>
          <w:szCs w:val="21"/>
        </w:rPr>
        <w:t>总活性，</w:t>
      </w:r>
      <w:r>
        <w:rPr>
          <w:szCs w:val="21"/>
        </w:rPr>
        <w:t>SDH</w:t>
      </w:r>
      <w:r>
        <w:rPr>
          <w:szCs w:val="21"/>
        </w:rPr>
        <w:t>是有氧呼吸的关键酶，由表中数据可知，汽车尾气中可吸入颗粒物浓度越大，细胞活力越小，即细胞</w:t>
      </w:r>
      <w:r>
        <w:rPr>
          <w:szCs w:val="21"/>
        </w:rPr>
        <w:t>SDH</w:t>
      </w:r>
      <w:r>
        <w:rPr>
          <w:szCs w:val="21"/>
        </w:rPr>
        <w:t>总活性越低，有氧呼吸速率越低，颗粒物对</w:t>
      </w:r>
      <w:r>
        <w:rPr>
          <w:szCs w:val="21"/>
        </w:rPr>
        <w:t>T</w:t>
      </w:r>
      <w:r>
        <w:rPr>
          <w:szCs w:val="21"/>
        </w:rPr>
        <w:t>淋巴细胞的毒性越大。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）汽车尾气中含有的多种致癌因子可使原癌基因和抑癌基因发生突变，使转录和翻译异常；识别、攻击癌细胞是细胞免疫过程，因此，长期汽车尾气暴露的人群</w:t>
      </w:r>
      <w:r>
        <w:rPr>
          <w:szCs w:val="21"/>
        </w:rPr>
        <w:t>T</w:t>
      </w:r>
      <w:r>
        <w:rPr>
          <w:szCs w:val="21"/>
        </w:rPr>
        <w:t>淋巴细胞执行的细胞免疫功能可能会发生异常。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28.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28</w:t>
      </w:r>
      <w:r>
        <w:rPr>
          <w:rFonts w:cs="宋体;SimSun"/>
          <w:color w:val="000000"/>
          <w:szCs w:val="21"/>
        </w:rPr>
        <w:t>，</w:t>
      </w:r>
      <w:r>
        <w:rPr>
          <w:szCs w:val="21"/>
        </w:rPr>
        <w:t>16</w:t>
      </w:r>
      <w:r>
        <w:rPr>
          <w:szCs w:val="21"/>
        </w:rPr>
        <w:t>分）人类对遗传的认知逐步深入：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）在孟德尔豌豆杂交实验中，纯合的黄色圆粒（</w:t>
      </w:r>
      <w:r>
        <w:rPr>
          <w:szCs w:val="21"/>
        </w:rPr>
        <w:t>YYRR</w:t>
      </w:r>
      <w:r>
        <w:rPr>
          <w:szCs w:val="21"/>
        </w:rPr>
        <w:t>）与绿色皱粒（</w:t>
      </w:r>
      <w:r>
        <w:rPr>
          <w:szCs w:val="21"/>
        </w:rPr>
        <w:t>yyrr</w:t>
      </w:r>
      <w:r>
        <w:rPr>
          <w:szCs w:val="21"/>
        </w:rPr>
        <w:t>）的豌豆杂交，若将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szCs w:val="21"/>
        </w:rPr>
        <w:t>中黄色皱粒豌豆自交，其子代中表现型为绿色皱粒的个体占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。进一步研究发现</w:t>
      </w:r>
      <w:r>
        <w:rPr>
          <w:szCs w:val="21"/>
        </w:rPr>
        <w:t>r</w:t>
      </w:r>
      <w:r>
        <w:rPr>
          <w:szCs w:val="21"/>
        </w:rPr>
        <w:t>基因的碱基序列比</w:t>
      </w:r>
      <w:r>
        <w:rPr>
          <w:szCs w:val="21"/>
        </w:rPr>
        <w:t>R</w:t>
      </w:r>
      <w:r>
        <w:rPr>
          <w:szCs w:val="21"/>
        </w:rPr>
        <w:t>基因多了</w:t>
      </w:r>
      <w:r>
        <w:rPr>
          <w:szCs w:val="21"/>
        </w:rPr>
        <w:t>800</w:t>
      </w:r>
      <w:r>
        <w:rPr>
          <w:szCs w:val="21"/>
        </w:rPr>
        <w:t>个碱基对，但</w:t>
      </w:r>
      <w:r>
        <w:rPr>
          <w:szCs w:val="21"/>
        </w:rPr>
        <w:t>r</w:t>
      </w:r>
      <w:r>
        <w:rPr>
          <w:szCs w:val="21"/>
        </w:rPr>
        <w:t>基因编码的蛋白质（无酶活性）比</w:t>
      </w:r>
      <w:r>
        <w:rPr>
          <w:szCs w:val="21"/>
        </w:rPr>
        <w:t>R</w:t>
      </w:r>
      <w:r>
        <w:rPr>
          <w:szCs w:val="21"/>
        </w:rPr>
        <w:t>基因编码的淀粉支酶少了末端</w:t>
      </w:r>
      <w:r>
        <w:rPr>
          <w:szCs w:val="21"/>
        </w:rPr>
        <w:t>61</w:t>
      </w:r>
      <w:r>
        <w:rPr>
          <w:szCs w:val="21"/>
        </w:rPr>
        <w:t>个氨基酸，推测</w:t>
      </w:r>
      <w:r>
        <w:rPr>
          <w:szCs w:val="21"/>
        </w:rPr>
        <w:t>r</w:t>
      </w:r>
      <w:r>
        <w:rPr>
          <w:szCs w:val="21"/>
        </w:rPr>
        <w:t>基因转录的</w:t>
      </w:r>
      <w:r>
        <w:rPr>
          <w:szCs w:val="21"/>
        </w:rPr>
        <w:t>mRNA</w:t>
      </w:r>
      <w:r>
        <w:rPr>
          <w:szCs w:val="21"/>
        </w:rPr>
        <w:t>提前出现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试从基因表达的角度，解释在孟德尔“一对相对性状的杂交实验”中，所观察的</w:t>
      </w:r>
      <w:r>
        <w:rPr>
          <w:szCs w:val="21"/>
        </w:rPr>
        <w:t>7</w:t>
      </w:r>
      <w:r>
        <w:rPr>
          <w:szCs w:val="21"/>
        </w:rPr>
        <w:t>种性状的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中显性性状得以体现，隐性性状不体现的原因是</w:t>
      </w:r>
      <w:r>
        <w:rPr>
          <w:rFonts w:eastAsia="Times New Roman"/>
          <w:szCs w:val="21"/>
          <w:u w:val="single"/>
        </w:rPr>
        <w:t xml:space="preserve">        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）摩尔根用灰身长翅（</w:t>
      </w:r>
      <w:r>
        <w:rPr>
          <w:szCs w:val="21"/>
        </w:rPr>
        <w:t>BBVV</w:t>
      </w:r>
      <w:r>
        <w:rPr>
          <w:szCs w:val="21"/>
        </w:rPr>
        <w:t>）与黑身残翅（</w:t>
      </w:r>
      <w:r>
        <w:rPr>
          <w:szCs w:val="21"/>
        </w:rPr>
        <w:t>bbvv</w:t>
      </w:r>
      <w:r>
        <w:rPr>
          <w:szCs w:val="21"/>
        </w:rPr>
        <w:t>）的果蝇杂交，将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中雌果蝇与黑身残翅雄果蝇进行测交，子代出现四种表现型，比例不为</w:t>
      </w:r>
      <w:r>
        <w:rPr>
          <w:szCs w:val="21"/>
        </w:rPr>
        <w:t>1</w:t>
      </w:r>
      <w:r>
        <w:rPr>
          <w:rFonts w:cs="宋体;SimSun" w:ascii="宋体;SimSun" w:hAnsi="宋体;SimSun"/>
          <w:szCs w:val="21"/>
        </w:rPr>
        <w:t>∶</w:t>
      </w:r>
      <w:r>
        <w:rPr>
          <w:szCs w:val="21"/>
        </w:rPr>
        <w:t>1</w:t>
      </w:r>
      <w:r>
        <w:rPr>
          <w:rFonts w:cs="宋体;SimSun" w:ascii="宋体;SimSun" w:hAnsi="宋体;SimSun"/>
          <w:szCs w:val="21"/>
        </w:rPr>
        <w:t>∶</w:t>
      </w:r>
      <w:r>
        <w:rPr>
          <w:szCs w:val="21"/>
        </w:rPr>
        <w:t>1</w:t>
      </w:r>
      <w:r>
        <w:rPr>
          <w:rFonts w:cs="宋体;SimSun" w:ascii="宋体;SimSun" w:hAnsi="宋体;SimSun"/>
          <w:szCs w:val="21"/>
        </w:rPr>
        <w:t>∶</w:t>
      </w:r>
      <w:r>
        <w:rPr>
          <w:szCs w:val="21"/>
        </w:rPr>
        <w:t>1</w:t>
      </w:r>
      <w:r>
        <w:rPr>
          <w:szCs w:val="21"/>
        </w:rPr>
        <w:t>，说明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中雌果蝇产生了</w:t>
      </w:r>
      <w:r>
        <w:rPr>
          <w:rFonts w:eastAsia="Times New Roman"/>
          <w:szCs w:val="21"/>
          <w:u w:val="single"/>
        </w:rPr>
        <w:t xml:space="preserve">        </w:t>
      </w:r>
      <w:r>
        <w:rPr>
          <w:szCs w:val="21"/>
        </w:rPr>
        <w:t>种配子。实验结果不符合自由组合定律，原因是这两对等位基因不满足该定律“</w:t>
      </w:r>
      <w:r>
        <w:rPr>
          <w:rFonts w:eastAsia="Times New Roman"/>
          <w:szCs w:val="21"/>
          <w:u w:val="single"/>
        </w:rPr>
        <w:t xml:space="preserve">     </w:t>
      </w:r>
      <w:r>
        <w:rPr>
          <w:szCs w:val="21"/>
        </w:rPr>
        <w:t>”这一基本条件。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）格里菲思用于转化实验的肺炎双球菌中，</w:t>
      </w:r>
      <w:r>
        <w:rPr>
          <w:szCs w:val="21"/>
        </w:rPr>
        <w:t>S</w:t>
      </w:r>
      <w:r>
        <w:rPr>
          <w:szCs w:val="21"/>
        </w:rPr>
        <w:t>型菌有</w:t>
      </w:r>
      <w:r>
        <w:rPr>
          <w:szCs w:val="21"/>
        </w:rPr>
        <w:t>S</w:t>
      </w:r>
      <w:r>
        <w:rPr>
          <w:rFonts w:cs="宋体;SimSun"/>
          <w:szCs w:val="21"/>
        </w:rPr>
        <w:t>Ⅰ</w:t>
      </w:r>
      <w:r>
        <w:rPr>
          <w:szCs w:val="21"/>
        </w:rPr>
        <w:t>、</w:t>
      </w:r>
      <w:r>
        <w:rPr>
          <w:szCs w:val="21"/>
        </w:rPr>
        <w:t>S</w:t>
      </w:r>
      <w:r>
        <w:rPr>
          <w:rFonts w:cs="宋体;SimSun"/>
          <w:szCs w:val="21"/>
        </w:rPr>
        <w:t>Ⅱ</w:t>
      </w:r>
      <w:r>
        <w:rPr>
          <w:szCs w:val="21"/>
        </w:rPr>
        <w:t>、</w:t>
      </w:r>
      <w:r>
        <w:rPr>
          <w:szCs w:val="21"/>
        </w:rPr>
        <w:t>S</w:t>
      </w:r>
      <w:r>
        <w:rPr>
          <w:rFonts w:cs="宋体;SimSun"/>
          <w:szCs w:val="21"/>
        </w:rPr>
        <w:t>Ⅲ</w:t>
      </w:r>
      <w:r>
        <w:rPr>
          <w:szCs w:val="21"/>
        </w:rPr>
        <w:t>等多种类型，</w:t>
      </w:r>
      <w:r>
        <w:rPr>
          <w:szCs w:val="21"/>
        </w:rPr>
        <w:t>R</w:t>
      </w:r>
      <w:r>
        <w:rPr>
          <w:szCs w:val="21"/>
        </w:rPr>
        <w:t>型菌是由</w:t>
      </w:r>
      <w:r>
        <w:rPr>
          <w:szCs w:val="21"/>
        </w:rPr>
        <w:t>S</w:t>
      </w:r>
      <w:r>
        <w:rPr>
          <w:rFonts w:cs="宋体;SimSun"/>
          <w:szCs w:val="21"/>
        </w:rPr>
        <w:t>Ⅱ</w:t>
      </w:r>
      <w:r>
        <w:rPr>
          <w:szCs w:val="21"/>
        </w:rPr>
        <w:t>型突变产生。利用加热杀死的</w:t>
      </w:r>
      <w:r>
        <w:rPr>
          <w:szCs w:val="21"/>
        </w:rPr>
        <w:t>S</w:t>
      </w:r>
      <w:r>
        <w:rPr>
          <w:rFonts w:cs="宋体;SimSun"/>
          <w:szCs w:val="21"/>
        </w:rPr>
        <w:t>Ⅲ</w:t>
      </w:r>
      <w:r>
        <w:rPr>
          <w:szCs w:val="21"/>
        </w:rPr>
        <w:t>与</w:t>
      </w:r>
      <w:r>
        <w:rPr>
          <w:szCs w:val="21"/>
        </w:rPr>
        <w:t>R</w:t>
      </w:r>
      <w:r>
        <w:rPr>
          <w:szCs w:val="21"/>
        </w:rPr>
        <w:t>型菌混合培养，出现了</w:t>
      </w:r>
      <w:r>
        <w:rPr>
          <w:szCs w:val="21"/>
        </w:rPr>
        <w:t>S</w:t>
      </w:r>
      <w:r>
        <w:rPr>
          <w:szCs w:val="21"/>
        </w:rPr>
        <w:t>型菌，有人认为</w:t>
      </w:r>
      <w:r>
        <w:rPr>
          <w:szCs w:val="21"/>
        </w:rPr>
        <w:t>S</w:t>
      </w:r>
      <w:r>
        <w:rPr>
          <w:szCs w:val="21"/>
        </w:rPr>
        <w:t>型菌出现是由于</w:t>
      </w:r>
      <w:r>
        <w:rPr>
          <w:szCs w:val="21"/>
        </w:rPr>
        <w:t>R</w:t>
      </w:r>
      <w:r>
        <w:rPr>
          <w:szCs w:val="21"/>
        </w:rPr>
        <w:t>型菌突变产生，但该实验中出现的</w:t>
      </w:r>
      <w:r>
        <w:rPr>
          <w:szCs w:val="21"/>
        </w:rPr>
        <w:t>S</w:t>
      </w:r>
      <w:r>
        <w:rPr>
          <w:szCs w:val="21"/>
        </w:rPr>
        <w:t>型菌全为</w:t>
      </w:r>
      <w:r>
        <w:rPr>
          <w:rFonts w:eastAsia="Times New Roman"/>
          <w:szCs w:val="21"/>
          <w:u w:val="single"/>
        </w:rPr>
        <w:t xml:space="preserve">         </w:t>
      </w:r>
      <w:r>
        <w:rPr>
          <w:szCs w:val="21"/>
        </w:rPr>
        <w:t>，否定了这种说法。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）沃森和克里克构建了</w:t>
      </w:r>
      <w:r>
        <w:rPr>
          <w:szCs w:val="21"/>
        </w:rPr>
        <w:t>DNA</w:t>
      </w:r>
      <w:r>
        <w:rPr>
          <w:szCs w:val="21"/>
        </w:rPr>
        <w:t>双螺旋结构模型，该模型用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szCs w:val="21"/>
        </w:rPr>
        <w:t>解释</w:t>
      </w:r>
      <w:r>
        <w:rPr>
          <w:szCs w:val="21"/>
        </w:rPr>
        <w:t>DNA</w:t>
      </w:r>
      <w:r>
        <w:rPr>
          <w:szCs w:val="21"/>
        </w:rPr>
        <w:t>分子的多样性，此外，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szCs w:val="21"/>
        </w:rPr>
        <w:t>的高度精确性保证了</w:t>
      </w:r>
      <w:r>
        <w:rPr>
          <w:szCs w:val="21"/>
        </w:rPr>
        <w:t>DNA</w:t>
      </w:r>
      <w:r>
        <w:rPr>
          <w:szCs w:val="21"/>
        </w:rPr>
        <w:t>遗传信息的稳定传递。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</w:p>
    <w:p>
      <w:pPr>
        <w:pStyle w:val="Normal"/>
        <w:spacing w:lineRule="auto" w:line="300"/>
        <w:ind w:firstLine="420"/>
        <w:rPr/>
      </w:pPr>
      <w:r>
        <w:rPr/>
        <w:t xml:space="preserve">(1)1/6  </w:t>
      </w:r>
      <w:r>
        <w:rPr/>
        <w:t>终止密码（子）</w:t>
      </w:r>
    </w:p>
    <w:p>
      <w:pPr>
        <w:pStyle w:val="Normal"/>
        <w:spacing w:lineRule="auto" w:line="300"/>
        <w:ind w:firstLine="420"/>
        <w:rPr/>
      </w:pPr>
      <w:r>
        <w:rPr/>
        <w:t>显性基因表达，隐性基因不转录，或隐性基因不翻译，或隐性基因编码的蛋白质无活性、或活性低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2</w:t>
      </w:r>
      <w:r>
        <w:rPr/>
        <w:t>）</w:t>
      </w:r>
      <w:r>
        <w:rPr/>
        <w:t xml:space="preserve">4     </w:t>
      </w:r>
      <w:r>
        <w:rPr/>
        <w:t>非同源染色体上非等位基因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3</w:t>
      </w:r>
      <w:r>
        <w:rPr/>
        <w:t>）</w:t>
      </w:r>
      <w:r>
        <w:rPr/>
        <w:t>SⅢ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4</w:t>
      </w:r>
      <w:r>
        <w:rPr/>
        <w:t>）碱基对排列顺序的多样性</w:t>
      </w:r>
      <w:r>
        <w:rPr>
          <w:rFonts w:eastAsia="Times New Roman"/>
        </w:rPr>
        <w:t xml:space="preserve">    </w:t>
      </w:r>
      <w:r>
        <w:rPr/>
        <w:t>碱基互补配对</w:t>
      </w:r>
    </w:p>
    <w:p>
      <w:pPr>
        <w:pStyle w:val="Normal"/>
        <w:spacing w:lineRule="auto" w:line="300"/>
        <w:ind w:firstLine="420"/>
        <w:rPr/>
      </w:pPr>
      <w:r>
        <w:rPr/>
        <w:t>【解析】在孟德尔豌豆杂交实验中纯合的黄色圆粒（</w:t>
      </w:r>
      <w:r>
        <w:rPr/>
        <w:t>YYRR</w:t>
      </w:r>
      <w:r>
        <w:rPr/>
        <w:t>）与绿色皱粒（</w:t>
      </w:r>
      <w:r>
        <w:rPr/>
        <w:t>yyrr</w:t>
      </w:r>
      <w:r>
        <w:rPr/>
        <w:t>）的豌豆杂交，则其</w:t>
      </w:r>
      <w:r>
        <w:rPr/>
        <w:t>F</w:t>
      </w:r>
      <w:r>
        <w:rPr>
          <w:vertAlign w:val="subscript"/>
        </w:rPr>
        <w:t>2</w:t>
      </w:r>
      <w:r>
        <w:rPr/>
        <w:t>中的黄色皱粒的基因型为</w:t>
      </w:r>
      <w:r>
        <w:rPr/>
        <w:t>1/3YYrr</w:t>
      </w:r>
      <w:r>
        <w:rPr/>
        <w:t>和</w:t>
      </w:r>
      <w:r>
        <w:rPr/>
        <w:t>2/3Yyrr</w:t>
      </w:r>
      <w:r>
        <w:rPr/>
        <w:t>，则它们自交，其子代中表现型为绿色皱粒（</w:t>
      </w:r>
      <w:r>
        <w:rPr/>
        <w:t>yyrr</w:t>
      </w:r>
      <w:r>
        <w:rPr/>
        <w:t>）的个体</w:t>
      </w:r>
      <w:r>
        <w:rPr/>
        <w:t>yy</w:t>
      </w:r>
      <w:r>
        <w:rPr/>
        <w:t>（</w:t>
      </w:r>
      <w:r>
        <w:rPr/>
        <w:t>2/3×1/4</w:t>
      </w:r>
      <w:r>
        <w:rPr/>
        <w:t>）</w:t>
      </w:r>
      <w:r>
        <w:rPr/>
        <w:t>×rr</w:t>
      </w:r>
      <w:r>
        <w:rPr/>
        <w:t>（</w:t>
      </w:r>
      <w:r>
        <w:rPr/>
        <w:t>1</w:t>
      </w:r>
      <w:r>
        <w:rPr/>
        <w:t>）＝</w:t>
      </w:r>
      <w:r>
        <w:rPr/>
        <w:t>1/6</w:t>
      </w:r>
      <w:r>
        <w:rPr/>
        <w:t>。进一步研究发现</w:t>
      </w:r>
      <w:r>
        <w:rPr/>
        <w:t>r</w:t>
      </w:r>
      <w:r>
        <w:rPr/>
        <w:t>基因的碱基序列比</w:t>
      </w:r>
      <w:r>
        <w:rPr/>
        <w:t>R</w:t>
      </w:r>
      <w:r>
        <w:rPr/>
        <w:t>基因多了</w:t>
      </w:r>
      <w:r>
        <w:rPr/>
        <w:t>800</w:t>
      </w:r>
      <w:r>
        <w:rPr/>
        <w:t>个碱基对，但</w:t>
      </w:r>
      <w:r>
        <w:rPr/>
        <w:t>r</w:t>
      </w:r>
      <w:r>
        <w:rPr/>
        <w:t>基因编码的蛋白质（无酶活性）比</w:t>
      </w:r>
      <w:r>
        <w:rPr/>
        <w:t>R</w:t>
      </w:r>
      <w:r>
        <w:rPr/>
        <w:t>基因编码的淀粉支酶少了末端</w:t>
      </w:r>
      <w:r>
        <w:rPr/>
        <w:t>61</w:t>
      </w:r>
      <w:r>
        <w:rPr/>
        <w:t>个氨基酸，由此可以推测</w:t>
      </w:r>
      <w:r>
        <w:rPr/>
        <w:t>r</w:t>
      </w:r>
      <w:r>
        <w:rPr/>
        <w:t>基因转录的</w:t>
      </w:r>
      <w:r>
        <w:rPr/>
        <w:t>mRNA</w:t>
      </w:r>
      <w:r>
        <w:rPr/>
        <w:t>提前出现了终止密码（子）。从基因表达的角度，隐性性状不体现的原因可以是显性基因表达，隐性基因不转录，或隐性基因不翻译，或隐性基因编码的蛋白质无活性、或活性低。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2</w:t>
      </w:r>
      <w:r>
        <w:rPr/>
        <w:t>）摩尔根用灰身长翅（</w:t>
      </w:r>
      <w:r>
        <w:rPr/>
        <w:t>BBVV</w:t>
      </w:r>
      <w:r>
        <w:rPr/>
        <w:t>）与黑身残翅（</w:t>
      </w:r>
      <w:r>
        <w:rPr/>
        <w:t>bbvv</w:t>
      </w:r>
      <w:r>
        <w:rPr/>
        <w:t>）的果蝇杂交，讲</w:t>
      </w:r>
      <w:r>
        <w:rPr/>
        <w:t>F</w:t>
      </w:r>
      <w:r>
        <w:rPr>
          <w:vertAlign w:val="subscript"/>
        </w:rPr>
        <w:t>1</w:t>
      </w:r>
      <w:r>
        <w:rPr/>
        <w:t>中雌果蝇测交，子代有</w:t>
      </w:r>
      <w:r>
        <w:rPr/>
        <w:t>4</w:t>
      </w:r>
      <w:r>
        <w:rPr/>
        <w:t>种表现型，可以肯定</w:t>
      </w:r>
      <w:r>
        <w:rPr/>
        <w:t>F</w:t>
      </w:r>
      <w:r>
        <w:rPr>
          <w:vertAlign w:val="subscript"/>
        </w:rPr>
        <w:t>1</w:t>
      </w:r>
      <w:r>
        <w:rPr/>
        <w:t>中的雌果蝇产生了</w:t>
      </w:r>
      <w:r>
        <w:rPr/>
        <w:t>4</w:t>
      </w:r>
      <w:r>
        <w:rPr/>
        <w:t>种配子。但结果不符合自由组合定律，原因是这两对等位基因不满足该定律“非同源染色体上非等位基因”的这一基本条件。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3</w:t>
      </w:r>
      <w:r>
        <w:rPr/>
        <w:t>）由于突变存在不定向性，所以，该实验中出现的</w:t>
      </w:r>
      <w:r>
        <w:rPr/>
        <w:t>S</w:t>
      </w:r>
      <w:r>
        <w:rPr/>
        <w:t>型菌全为</w:t>
      </w:r>
      <w:r>
        <w:rPr/>
        <w:t>SⅢ</w:t>
      </w:r>
      <w:r>
        <w:rPr/>
        <w:t>，就说明不是突变产生的，从而否定了前面的说法。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4</w:t>
      </w:r>
      <w:r>
        <w:rPr/>
        <w:t>）沃森和克里克构建了</w:t>
      </w:r>
      <w:r>
        <w:rPr/>
        <w:t>DNA</w:t>
      </w:r>
      <w:r>
        <w:rPr/>
        <w:t>双螺旋结构模型，该模型用碱基对排列顺序的多样性解释</w:t>
      </w:r>
      <w:r>
        <w:rPr/>
        <w:t>DNA</w:t>
      </w:r>
      <w:r>
        <w:rPr/>
        <w:t>分子的多样性，此外，碱基互补配对的高度精确性保证了</w:t>
      </w:r>
      <w:r>
        <w:rPr/>
        <w:t>DNA</w:t>
      </w:r>
      <w:r>
        <w:rPr/>
        <w:t>遗传信息稳定传递。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33.[</w:t>
      </w:r>
      <w:r>
        <w:rPr>
          <w:szCs w:val="21"/>
        </w:rPr>
        <w:t>生物</w:t>
      </w:r>
      <w:r>
        <w:rPr>
          <w:szCs w:val="21"/>
        </w:rPr>
        <w:t>-</w:t>
      </w:r>
      <w:r>
        <w:rPr>
          <w:szCs w:val="21"/>
        </w:rPr>
        <w:t>现代生物科技专题</w:t>
      </w:r>
      <w:r>
        <w:rPr>
          <w:szCs w:val="21"/>
        </w:rPr>
        <w:t>]</w:t>
      </w:r>
      <w:r>
        <w:rPr>
          <w:szCs w:val="21"/>
        </w:rPr>
        <w:t>必答题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33</w:t>
      </w:r>
      <w:r>
        <w:rPr>
          <w:rFonts w:cs="宋体;SimSun"/>
          <w:color w:val="000000"/>
          <w:szCs w:val="21"/>
        </w:rPr>
        <w:t>，</w:t>
      </w:r>
      <w:r>
        <w:rPr>
          <w:szCs w:val="21"/>
        </w:rPr>
        <w:t>10</w:t>
      </w:r>
      <w:r>
        <w:rPr>
          <w:szCs w:val="21"/>
        </w:rPr>
        <w:t>分）</w:t>
      </w:r>
    </w:p>
    <w:p>
      <w:pPr>
        <w:pStyle w:val="Normal"/>
        <w:spacing w:lineRule="auto" w:line="300"/>
        <w:ind w:firstLine="420"/>
        <w:rPr/>
      </w:pP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基因缺失小鼠不能产生成熟的淋巴细胞。科研人员利用胚胎干细胞（</w:t>
      </w:r>
      <w:r>
        <w:rPr>
          <w:szCs w:val="21"/>
        </w:rPr>
        <w:t>ES</w:t>
      </w:r>
      <w:r>
        <w:rPr>
          <w:szCs w:val="21"/>
        </w:rPr>
        <w:t>细胞）对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基因缺失小鼠进行基因治疗。其技术流程如图：</w:t>
      </w:r>
    </w:p>
    <w:p>
      <w:pPr>
        <w:pStyle w:val="Normal"/>
        <w:spacing w:lineRule="auto" w:line="300"/>
        <w:ind w:firstLine="480"/>
        <w:rPr>
          <w:szCs w:val="21"/>
        </w:rPr>
      </w:pPr>
      <w:r>
        <w:rPr>
          <w:sz w:val="24"/>
          <w:szCs w:val="24"/>
        </w:rPr>
        <w:drawing>
          <wp:inline distT="0" distB="0" distL="0" distR="0">
            <wp:extent cx="5266690" cy="25431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）步骤</w:t>
      </w:r>
      <w:r>
        <w:fldChar w:fldCharType="begin"/>
      </w:r>
      <w:r>
        <w:rPr>
          <w:szCs w:val="21"/>
          <w:lang w:val="en-US" w:eastAsia="en-US"/>
        </w:rPr>
        <w:instrText xml:space="preserve"> = 1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①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中，在核移植前应去除卵母细胞的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）步骤</w:t>
      </w:r>
      <w:r>
        <w:fldChar w:fldCharType="begin"/>
      </w:r>
      <w:r>
        <w:rPr>
          <w:szCs w:val="21"/>
          <w:lang w:val="en-US" w:eastAsia="en-US"/>
        </w:rPr>
        <w:instrText xml:space="preserve"> = 2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②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中，重组胚胎培养到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  <w:u w:val="single"/>
        </w:rPr>
        <w:t xml:space="preserve">    </w:t>
      </w:r>
      <w:r>
        <w:rPr>
          <w:szCs w:val="21"/>
        </w:rPr>
        <w:t>期时，可从其内细胞团分离出</w:t>
      </w:r>
      <w:r>
        <w:rPr>
          <w:szCs w:val="21"/>
        </w:rPr>
        <w:t>ES</w:t>
      </w:r>
      <w:r>
        <w:rPr>
          <w:szCs w:val="21"/>
        </w:rPr>
        <w:t>细胞。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）步骤</w:t>
      </w:r>
      <w:r>
        <w:fldChar w:fldCharType="begin"/>
      </w:r>
      <w:r>
        <w:rPr>
          <w:szCs w:val="21"/>
          <w:lang w:val="en-US" w:eastAsia="en-US"/>
        </w:rPr>
        <w:instrText xml:space="preserve"> = 3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③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中，需要构建含有基因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的表达载体。可以根据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基因的</w:t>
      </w:r>
      <w:r>
        <w:rPr>
          <w:rFonts w:eastAsia="Times New Roman"/>
          <w:szCs w:val="21"/>
          <w:u w:val="single"/>
        </w:rPr>
        <w:t xml:space="preserve">     </w:t>
      </w:r>
      <w:r>
        <w:rPr>
          <w:szCs w:val="21"/>
        </w:rPr>
        <w:t>设计引物，利用</w:t>
      </w:r>
      <w:r>
        <w:rPr>
          <w:szCs w:val="21"/>
        </w:rPr>
        <w:t>PCR</w:t>
      </w:r>
      <w:r>
        <w:rPr>
          <w:szCs w:val="21"/>
        </w:rPr>
        <w:t>技术扩增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基因片段。用</w:t>
      </w:r>
      <w:r>
        <w:rPr>
          <w:i/>
          <w:szCs w:val="21"/>
        </w:rPr>
        <w:t>Hind</w:t>
      </w:r>
      <w:r>
        <w:fldChar w:fldCharType="begin"/>
      </w:r>
      <w:r>
        <w:rPr>
          <w:szCs w:val="21"/>
          <w:lang w:val="en-US" w:eastAsia="en-US"/>
        </w:rPr>
        <w:instrText xml:space="preserve"> = 3 \* ROMAN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III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和</w:t>
      </w:r>
      <w:r>
        <w:rPr>
          <w:i/>
          <w:szCs w:val="21"/>
        </w:rPr>
        <w:t>Pst</w:t>
      </w:r>
      <w:r>
        <w:fldChar w:fldCharType="begin"/>
      </w:r>
      <w:r>
        <w:rPr>
          <w:szCs w:val="21"/>
          <w:lang w:val="en-US" w:eastAsia="en-US"/>
        </w:rPr>
        <w:instrText xml:space="preserve"> = 1 \* ROMAN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I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限制酶分别在片段两侧进行酶切获得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基因片段。为将该片段直接连接到表达载体，所选择的表达载体上应具有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szCs w:val="21"/>
        </w:rPr>
        <w:t>酶的酶切位点。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）为检测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基因的表达情况，可提取治疗后小鼠骨髓细胞的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，用抗</w:t>
      </w:r>
      <w:r>
        <w:rPr>
          <w:szCs w:val="21"/>
        </w:rPr>
        <w:t>Rag</w:t>
      </w:r>
      <w:r>
        <w:rPr>
          <w:szCs w:val="21"/>
          <w:vertAlign w:val="subscript"/>
        </w:rPr>
        <w:t>2</w:t>
      </w:r>
      <w:r>
        <w:rPr>
          <w:szCs w:val="21"/>
        </w:rPr>
        <w:t>蛋白的抗体进行杂交实验。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【答案】（</w:t>
      </w:r>
      <w:r>
        <w:rPr>
          <w:szCs w:val="21"/>
        </w:rPr>
        <w:t>10</w:t>
      </w:r>
      <w:r>
        <w:rPr>
          <w:rFonts w:cs="宋体;SimSun"/>
          <w:szCs w:val="21"/>
        </w:rPr>
        <w:t>分）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1</w:t>
      </w:r>
      <w:r>
        <w:rPr>
          <w:rFonts w:cs="宋体;SimSun"/>
          <w:szCs w:val="21"/>
        </w:rPr>
        <w:t>）细胞核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2</w:t>
      </w:r>
      <w:r>
        <w:rPr>
          <w:rFonts w:cs="宋体;SimSun"/>
          <w:szCs w:val="21"/>
        </w:rPr>
        <w:t>）囊胚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3</w:t>
      </w:r>
      <w:r>
        <w:rPr>
          <w:rFonts w:cs="宋体;SimSun"/>
          <w:szCs w:val="21"/>
        </w:rPr>
        <w:t>）核苷酸序列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Hind</w:t>
      </w:r>
      <w:r>
        <w:rPr>
          <w:rFonts w:cs="宋体;SimSun"/>
          <w:szCs w:val="21"/>
        </w:rPr>
        <w:t>Ⅲ</w:t>
      </w:r>
      <w:r>
        <w:rPr>
          <w:rFonts w:cs="宋体;SimSun"/>
          <w:szCs w:val="21"/>
        </w:rPr>
        <w:t>和</w:t>
      </w:r>
      <w:r>
        <w:rPr>
          <w:szCs w:val="21"/>
        </w:rPr>
        <w:t>Pst</w:t>
      </w:r>
      <w:r>
        <w:rPr>
          <w:rFonts w:cs="宋体;SimSun"/>
          <w:szCs w:val="21"/>
        </w:rPr>
        <w:t>Ⅰ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4</w:t>
      </w:r>
      <w:r>
        <w:rPr>
          <w:rFonts w:cs="宋体;SimSun"/>
          <w:szCs w:val="21"/>
        </w:rPr>
        <w:t>）蛋白质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【解析】（</w:t>
      </w:r>
      <w:r>
        <w:rPr>
          <w:szCs w:val="21"/>
        </w:rPr>
        <w:t>1</w:t>
      </w:r>
      <w:r>
        <w:rPr>
          <w:rFonts w:cs="宋体;SimSun"/>
          <w:szCs w:val="21"/>
        </w:rPr>
        <w:t>）步骤①是核移植过程。体细胞核移植前要除去受体卵母细胞的细胞核，原因是若不去掉卵母细胞的细胞核，就会造成细胞里面就有两个细胞核，使得遗传物质是不稳定的。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2</w:t>
      </w:r>
      <w:r>
        <w:rPr>
          <w:rFonts w:cs="宋体;SimSun"/>
          <w:szCs w:val="21"/>
        </w:rPr>
        <w:t>）</w:t>
      </w:r>
      <w:r>
        <w:rPr>
          <w:szCs w:val="21"/>
        </w:rPr>
        <w:t>ES</w:t>
      </w:r>
      <w:r>
        <w:rPr>
          <w:rFonts w:cs="宋体;SimSun"/>
          <w:szCs w:val="21"/>
        </w:rPr>
        <w:t>细胞是由早期胚胎（囊胚）的内细胞团分离出来的一类细胞。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3</w:t>
      </w:r>
      <w:r>
        <w:rPr>
          <w:rFonts w:cs="宋体;SimSun"/>
          <w:szCs w:val="21"/>
        </w:rPr>
        <w:t>）步骤③过程是导入目的基因</w:t>
      </w:r>
      <w:r>
        <w:rPr>
          <w:szCs w:val="21"/>
        </w:rPr>
        <w:t>——</w:t>
      </w:r>
      <w:r>
        <w:rPr>
          <w:szCs w:val="21"/>
        </w:rPr>
        <w:t>Rag2</w:t>
      </w:r>
      <w:r>
        <w:rPr>
          <w:rFonts w:cs="宋体;SimSun"/>
          <w:szCs w:val="21"/>
        </w:rPr>
        <w:t>基因于</w:t>
      </w:r>
      <w:r>
        <w:rPr>
          <w:szCs w:val="21"/>
        </w:rPr>
        <w:t>ES</w:t>
      </w:r>
      <w:r>
        <w:rPr>
          <w:rFonts w:cs="宋体;SimSun"/>
          <w:szCs w:val="21"/>
        </w:rPr>
        <w:t>细胞中的基因表达载体的构建过程。在生物体外可通过</w:t>
      </w:r>
      <w:r>
        <w:rPr>
          <w:szCs w:val="21"/>
        </w:rPr>
        <w:t>PCR</w:t>
      </w:r>
      <w:r>
        <w:rPr>
          <w:rFonts w:cs="宋体;SimSun"/>
          <w:szCs w:val="21"/>
        </w:rPr>
        <w:t>技术扩增目的基因，其条件是模板</w:t>
      </w:r>
      <w:r>
        <w:rPr>
          <w:szCs w:val="21"/>
        </w:rPr>
        <w:t>DNA</w:t>
      </w:r>
      <w:r>
        <w:rPr>
          <w:rFonts w:cs="宋体;SimSun"/>
          <w:szCs w:val="21"/>
        </w:rPr>
        <w:t>、</w:t>
      </w:r>
      <w:r>
        <w:rPr>
          <w:szCs w:val="21"/>
        </w:rPr>
        <w:t>Rag2</w:t>
      </w:r>
      <w:r>
        <w:rPr>
          <w:rFonts w:cs="宋体;SimSun"/>
          <w:szCs w:val="21"/>
        </w:rPr>
        <w:t>基因的核苷酸序列设计引物、四种脱氧核苷酸、热稳定</w:t>
      </w:r>
      <w:r>
        <w:rPr>
          <w:szCs w:val="21"/>
        </w:rPr>
        <w:t>DNA</w:t>
      </w:r>
      <w:r>
        <w:rPr>
          <w:rFonts w:cs="宋体;SimSun"/>
          <w:szCs w:val="21"/>
        </w:rPr>
        <w:t>聚合酶等，另外根据题干可知，获得</w:t>
      </w:r>
      <w:r>
        <w:rPr>
          <w:szCs w:val="21"/>
        </w:rPr>
        <w:t>Rag2</w:t>
      </w:r>
      <w:r>
        <w:rPr>
          <w:rFonts w:cs="宋体;SimSun"/>
          <w:szCs w:val="21"/>
        </w:rPr>
        <w:t>目的基因需要用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Hind</w:t>
      </w:r>
      <w:r>
        <w:rPr>
          <w:rFonts w:cs="宋体;SimSun"/>
          <w:szCs w:val="21"/>
        </w:rPr>
        <w:t>Ⅲ</w:t>
      </w:r>
      <w:r>
        <w:rPr>
          <w:rFonts w:cs="宋体;SimSun"/>
          <w:szCs w:val="21"/>
        </w:rPr>
        <w:t>和</w:t>
      </w:r>
      <w:r>
        <w:rPr>
          <w:szCs w:val="21"/>
        </w:rPr>
        <w:t>Pst</w:t>
      </w:r>
      <w:r>
        <w:rPr>
          <w:rFonts w:cs="宋体;SimSun"/>
          <w:szCs w:val="21"/>
        </w:rPr>
        <w:t>Ⅰ</w:t>
      </w:r>
      <w:r>
        <w:rPr>
          <w:rFonts w:cs="宋体;SimSun"/>
          <w:szCs w:val="21"/>
        </w:rPr>
        <w:t>两种限制酶，所以在构建表达载体时，所选择的表达载体上应具有</w:t>
      </w:r>
      <w:r>
        <w:rPr>
          <w:szCs w:val="21"/>
        </w:rPr>
        <w:t>Hind</w:t>
      </w:r>
      <w:r>
        <w:rPr>
          <w:rFonts w:cs="宋体;SimSun"/>
          <w:szCs w:val="21"/>
        </w:rPr>
        <w:t>Ⅲ</w:t>
      </w:r>
      <w:r>
        <w:rPr>
          <w:rFonts w:cs="宋体;SimSun"/>
          <w:szCs w:val="21"/>
        </w:rPr>
        <w:t>和</w:t>
      </w:r>
      <w:r>
        <w:rPr>
          <w:szCs w:val="21"/>
        </w:rPr>
        <w:t>Pst</w:t>
      </w:r>
      <w:r>
        <w:rPr>
          <w:rFonts w:cs="宋体;SimSun"/>
          <w:szCs w:val="21"/>
        </w:rPr>
        <w:t>Ⅰ</w:t>
      </w:r>
      <w:r>
        <w:rPr>
          <w:rFonts w:cs="宋体;SimSun"/>
          <w:szCs w:val="21"/>
        </w:rPr>
        <w:t>酶的酶切位点。</w:t>
      </w:r>
    </w:p>
    <w:p>
      <w:pPr>
        <w:pStyle w:val="Normal"/>
        <w:spacing w:lineRule="auto" w:line="300"/>
        <w:ind w:firstLine="420"/>
        <w:textAlignment w:val="auto"/>
        <w:rPr/>
      </w:pPr>
      <w:r>
        <w:rPr>
          <w:rFonts w:cs="宋体;SimSun"/>
          <w:szCs w:val="21"/>
        </w:rPr>
        <w:t>（</w:t>
      </w:r>
      <w:r>
        <w:rPr>
          <w:szCs w:val="21"/>
        </w:rPr>
        <w:t>4</w:t>
      </w:r>
      <w:r>
        <w:rPr>
          <w:rFonts w:cs="宋体;SimSun"/>
          <w:szCs w:val="21"/>
        </w:rPr>
        <w:t>）检测目的基因是否翻译相应蛋白质时，应采用抗原</w:t>
      </w:r>
      <w:r>
        <w:rPr>
          <w:szCs w:val="21"/>
        </w:rPr>
        <w:t>—</w:t>
      </w:r>
      <w:r>
        <w:rPr>
          <w:rFonts w:cs="宋体;SimSun"/>
          <w:szCs w:val="21"/>
        </w:rPr>
        <w:t>抗体杂交（免疫）法，即提取蛋白质，用相应的抗体进行抗体</w:t>
      </w:r>
      <w:r>
        <w:rPr>
          <w:szCs w:val="21"/>
        </w:rPr>
        <w:t>—</w:t>
      </w:r>
      <w:r>
        <w:rPr>
          <w:rFonts w:cs="宋体;SimSun"/>
          <w:szCs w:val="21"/>
        </w:rPr>
        <w:t>抗原杂交，看是否有杂交带。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624" w:top="1440" w:footer="624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宋体;SimSun" w:hAnsi="宋体;SimSun" w:cs="宋体;SimSun"/>
        <w:b/>
        <w:color w:val="FF0000"/>
        <w:sz w:val="21"/>
        <w:szCs w:val="21"/>
      </w:rPr>
      <w:t xml:space="preserve">第 </w:t>
    </w:r>
    <w:r>
      <w:rPr>
        <w:rFonts w:ascii="宋体;SimSun" w:hAnsi="宋体;SimSun" w:cs="宋体;SimSun"/>
        <w:b/>
        <w:color w:val="FF0000"/>
        <w:sz w:val="21"/>
        <w:szCs w:val="21"/>
      </w:rPr>
      <w:fldChar w:fldCharType="begin"/>
    </w:r>
    <w:r>
      <w:rPr>
        <w:sz w:val="21"/>
        <w:b/>
        <w:szCs w:val="21"/>
        <w:rFonts w:ascii="宋体;SimSun" w:hAnsi="宋体;SimSun" w:cs="宋体;SimSun"/>
        <w:color w:val="FF0000"/>
      </w:rPr>
      <w:instrText xml:space="preserve"> PAGE </w:instrText>
    </w:r>
    <w:r>
      <w:rPr>
        <w:sz w:val="21"/>
        <w:b/>
        <w:szCs w:val="21"/>
        <w:rFonts w:ascii="宋体;SimSun" w:hAnsi="宋体;SimSun" w:cs="宋体;SimSun"/>
        <w:color w:val="FF0000"/>
      </w:rPr>
      <w:fldChar w:fldCharType="separate"/>
    </w:r>
    <w:r>
      <w:rPr>
        <w:sz w:val="21"/>
        <w:b/>
        <w:szCs w:val="21"/>
        <w:rFonts w:ascii="宋体;SimSun" w:hAnsi="宋体;SimSun" w:cs="宋体;SimSun"/>
        <w:color w:val="FF0000"/>
      </w:rPr>
      <w:t>8</w:t>
    </w:r>
    <w:r>
      <w:rPr>
        <w:sz w:val="21"/>
        <w:b/>
        <w:szCs w:val="21"/>
        <w:rFonts w:ascii="宋体;SimSun" w:hAnsi="宋体;SimSun" w:cs="宋体;SimSun"/>
        <w:color w:val="FF0000"/>
      </w:rPr>
      <w:fldChar w:fldCharType="end"/>
    </w:r>
    <w:r>
      <w:rPr>
        <w:rFonts w:ascii="宋体;SimSun" w:hAnsi="宋体;SimSun" w:cs="宋体;SimSun"/>
        <w:b/>
        <w:color w:val="FF0000"/>
        <w:sz w:val="21"/>
        <w:szCs w:val="21"/>
      </w:rPr>
      <w:t xml:space="preserve"> 页 共 </w:t>
    </w:r>
    <w:r>
      <w:rPr>
        <w:rFonts w:ascii="宋体;SimSun" w:hAnsi="宋体;SimSun" w:cs="宋体;SimSun"/>
        <w:b/>
        <w:color w:val="FF0000"/>
        <w:sz w:val="21"/>
        <w:szCs w:val="21"/>
      </w:rPr>
      <w:fldChar w:fldCharType="begin"/>
    </w:r>
    <w:r>
      <w:rPr>
        <w:sz w:val="21"/>
        <w:b/>
        <w:szCs w:val="21"/>
        <w:rFonts w:ascii="宋体;SimSun" w:hAnsi="宋体;SimSun" w:cs="宋体;SimSun"/>
        <w:color w:val="FF0000"/>
      </w:rPr>
      <w:instrText xml:space="preserve"> NUMPAGES \* ARABIC </w:instrText>
    </w:r>
    <w:r>
      <w:rPr>
        <w:sz w:val="21"/>
        <w:b/>
        <w:szCs w:val="21"/>
        <w:rFonts w:ascii="宋体;SimSun" w:hAnsi="宋体;SimSun" w:cs="宋体;SimSun"/>
        <w:color w:val="FF0000"/>
      </w:rPr>
      <w:fldChar w:fldCharType="separate"/>
    </w:r>
    <w:r>
      <w:rPr>
        <w:sz w:val="21"/>
        <w:b/>
        <w:szCs w:val="21"/>
        <w:rFonts w:ascii="宋体;SimSun" w:hAnsi="宋体;SimSun" w:cs="宋体;SimSun"/>
        <w:color w:val="FF0000"/>
      </w:rPr>
      <w:t>8</w:t>
    </w:r>
    <w:r>
      <w:rPr>
        <w:sz w:val="21"/>
        <w:b/>
        <w:szCs w:val="21"/>
        <w:rFonts w:ascii="宋体;SimSun" w:hAnsi="宋体;SimSun" w:cs="宋体;SimSun"/>
        <w:color w:val="FF0000"/>
      </w:rPr>
      <w:fldChar w:fldCharType="end"/>
    </w:r>
    <w:r>
      <w:rPr>
        <w:rFonts w:ascii="宋体;SimSun" w:hAnsi="宋体;SimSun" w:cs="宋体;SimSun"/>
        <w:b/>
        <w:color w:val="FF0000"/>
        <w:sz w:val="21"/>
        <w:szCs w:val="21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eastAsia="Times New Roman"/>
        <w:b/>
        <w:b/>
        <w:sz w:val="21"/>
        <w:szCs w:val="21"/>
      </w:rPr>
    </w:pPr>
    <w:r>
      <w:rPr>
        <w:rFonts w:eastAsia="Times New Roman"/>
        <w:b/>
        <w:sz w:val="21"/>
        <w:szCs w:val="21"/>
      </w:rPr>
      <w:t xml:space="preserve">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312"/>
      <w:jc w:val="both"/>
      <w:textAlignment w:val="baseline"/>
    </w:pPr>
    <w:rPr>
      <w:rFonts w:ascii="Times New Roman" w:hAnsi="Times New Roman" w:eastAsia="宋体;SimSun" w:cs="Times New Roman"/>
      <w:color w:val="auto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TextBody"/>
    <w:qFormat/>
    <w:pPr>
      <w:widowControl/>
      <w:numPr>
        <w:ilvl w:val="0"/>
        <w:numId w:val="1"/>
      </w:numPr>
      <w:spacing w:before="40" w:after="40"/>
      <w:jc w:val="left"/>
      <w:outlineLvl w:val="0"/>
    </w:pPr>
    <w:rPr>
      <w:color w:val="000000"/>
      <w:kern w:val="2"/>
      <w:szCs w:val="21"/>
    </w:rPr>
  </w:style>
  <w:style w:type="character" w:styleId="Style13">
    <w:name w:val="默认段落字体"/>
    <w:qFormat/>
    <w:rPr/>
  </w:style>
  <w:style w:type="character" w:styleId="Appleconvertedspace">
    <w:name w:val="apple-converted-space"/>
    <w:basedOn w:val="Style13"/>
    <w:qFormat/>
    <w:rPr/>
  </w:style>
  <w:style w:type="character" w:styleId="Char">
    <w:name w:val="页眉 Char"/>
    <w:basedOn w:val="Style13"/>
    <w:qFormat/>
    <w:rPr>
      <w:rFonts w:eastAsia="宋体;SimSun"/>
      <w:sz w:val="18"/>
      <w:szCs w:val="18"/>
      <w:lang w:val="en-US" w:eastAsia="zh-CN" w:bidi="ar-SA"/>
    </w:rPr>
  </w:style>
  <w:style w:type="character" w:styleId="Char1">
    <w:name w:val="批注框文本 Char"/>
    <w:basedOn w:val="Style13"/>
    <w:qFormat/>
    <w:rPr>
      <w:rFonts w:eastAsia="宋体;SimSun"/>
      <w:sz w:val="18"/>
      <w:szCs w:val="18"/>
      <w:lang w:val="en-US" w:eastAsia="zh-CN" w:bidi="ar-SA"/>
    </w:rPr>
  </w:style>
  <w:style w:type="character" w:styleId="Char2">
    <w:name w:val="批注文字 Char"/>
    <w:basedOn w:val="Style13"/>
    <w:qFormat/>
    <w:rPr>
      <w:rFonts w:eastAsia="宋体;SimSun"/>
      <w:sz w:val="21"/>
      <w:lang w:val="en-US" w:eastAsia="zh-CN" w:bidi="ar-SA"/>
    </w:rPr>
  </w:style>
  <w:style w:type="character" w:styleId="Style14">
    <w:name w:val="批注引用"/>
    <w:basedOn w:val="Style13"/>
    <w:qFormat/>
    <w:rPr>
      <w:sz w:val="21"/>
      <w:szCs w:val="21"/>
    </w:rPr>
  </w:style>
  <w:style w:type="character" w:styleId="Emphasis">
    <w:name w:val="Emphasis"/>
    <w:basedOn w:val="Style13"/>
    <w:qFormat/>
    <w:rPr>
      <w:i/>
      <w:iCs/>
    </w:rPr>
  </w:style>
  <w:style w:type="character" w:styleId="Char3">
    <w:name w:val="页脚 Char"/>
    <w:basedOn w:val="Style13"/>
    <w:qFormat/>
    <w:rPr>
      <w:rFonts w:eastAsia="宋体;SimSun"/>
      <w:sz w:val="18"/>
      <w:szCs w:val="18"/>
      <w:lang w:val="en-US" w:eastAsia="zh-CN" w:bidi="ar-SA"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4">
    <w:name w:val="批注主题 Char"/>
    <w:basedOn w:val="Char2"/>
    <w:qFormat/>
    <w:rPr>
      <w:b/>
      <w:bCs/>
    </w:rPr>
  </w:style>
  <w:style w:type="character" w:styleId="HTMLChar">
    <w:name w:val="HTML 预设格式 Char"/>
    <w:basedOn w:val="Style13"/>
    <w:qFormat/>
    <w:rPr>
      <w:rFonts w:ascii="Arial" w:hAnsi="Arial" w:eastAsia="Times New Roman" w:cs="Arial"/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40"/>
      <w:textAlignment w:val="auto"/>
    </w:pPr>
    <w:rPr>
      <w:rFonts w:ascii="宋体;SimSun" w:hAnsi="宋体;SimSun" w:cs="宋体;SimSun"/>
      <w:kern w:val="2"/>
      <w:sz w:val="18"/>
      <w:szCs w:val="21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文字"/>
    <w:basedOn w:val="Normal"/>
    <w:qFormat/>
    <w:pPr>
      <w:jc w:val="left"/>
    </w:pPr>
    <w:rPr>
      <w:rFonts w:eastAsia="宋体;SimSun"/>
      <w:sz w:val="21"/>
      <w:lang w:val="en-US" w:eastAsia="zh-CN" w:bidi="ar-SA"/>
    </w:rPr>
  </w:style>
  <w:style w:type="paragraph" w:styleId="Style16">
    <w:name w:val="批注主题"/>
    <w:basedOn w:val="Style15"/>
    <w:next w:val="Style15"/>
    <w:qFormat/>
    <w:pPr/>
    <w:rPr>
      <w:b/>
      <w:bCs/>
    </w:rPr>
  </w:style>
  <w:style w:type="paragraph" w:styleId="Style17">
    <w:name w:val="批注框文本"/>
    <w:basedOn w:val="Normal"/>
    <w:qFormat/>
    <w:pPr/>
    <w:rPr>
      <w:rFonts w:eastAsia="宋体;SimSun"/>
      <w:sz w:val="18"/>
      <w:szCs w:val="18"/>
      <w:lang w:val="en-US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eastAsia="宋体;SimSun"/>
      <w:sz w:val="18"/>
      <w:szCs w:val="18"/>
      <w:lang w:val="en-US" w:eastAsia="zh-CN" w:bidi="ar-SA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eastAsia="宋体;SimSun"/>
      <w:sz w:val="18"/>
      <w:szCs w:val="18"/>
      <w:lang w:val="en-US" w:eastAsia="zh-CN" w:bidi="ar-SA"/>
    </w:rPr>
  </w:style>
  <w:style w:type="paragraph" w:styleId="Style18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sz w:val="24"/>
    </w:rPr>
  </w:style>
  <w:style w:type="paragraph" w:styleId="Style19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ListParagraph">
    <w:name w:val="List Paragraph"/>
    <w:basedOn w:val="Normal"/>
    <w:qFormat/>
    <w:pPr>
      <w:spacing w:lineRule="auto" w:line="240"/>
      <w:ind w:firstLine="420"/>
      <w:textAlignment w:val="auto"/>
    </w:pPr>
    <w:rPr>
      <w:rFonts w:ascii="Calibri" w:hAnsi="Calibri" w:cs="Calibri"/>
      <w:kern w:val="2"/>
      <w:szCs w:val="22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  <w:textAlignment w:val="auto"/>
    </w:pPr>
    <w:rPr>
      <w:rFonts w:ascii="Arial" w:hAnsi="Arial" w:eastAsia="Times New Roman" w:cs="Arial"/>
      <w:sz w:val="24"/>
      <w:szCs w:val="24"/>
      <w:lang w:val="en-US" w:eastAsia="en-US"/>
    </w:rPr>
  </w:style>
  <w:style w:type="paragraph" w:styleId="NewNewNew">
    <w:name w:val="正文 New New New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20" w:leader="none"/>
      </w:tabs>
    </w:pPr>
    <w:rPr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2014-06-05T15:02:00Z</dcterms:created>
  <dc:creator>微软用户</dc:creator>
  <dc:description>中国教育出版网www.zzstep.com</dc:description>
  <cp:keywords>中国教育出版网www.zzstep.com</cp:keywords>
  <dc:language>en-US</dc:language>
  <cp:lastModifiedBy>sdx</cp:lastModifiedBy>
  <dcterms:modified xsi:type="dcterms:W3CDTF">2014-06-18T07:34:00Z</dcterms:modified>
  <cp:revision>12</cp:revision>
  <dc:subject>中国教育出版网www.zzstep.com</dc:subject>
  <dc:title>中国教育出版网www.zzstep.com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