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sz w:val="21"/>
          <w:szCs w:val="21"/>
        </w:rPr>
      </w:pPr>
      <w:bookmarkStart w:id="0" w:name="OLE_LINK3"/>
      <w:r>
        <w:rPr>
          <w:rFonts w:hint="eastAsia" w:asciiTheme="minorEastAsia" w:hAnsiTheme="minorEastAsia" w:eastAsiaTheme="minorEastAsia" w:cstheme="minorEastAsia"/>
          <w:b/>
          <w:sz w:val="21"/>
          <w:szCs w:val="21"/>
        </w:rPr>
        <w:t>2014年普通高等学校招生全国统一考试（新课标Ⅱ卷）</w:t>
      </w: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sz w:val="21"/>
          <w:szCs w:val="21"/>
        </w:rPr>
        <w:t>理科综合 生物部分</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1．关于细胞的叙述，错误的是（     ）</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A．植物细胞的胞间连丝具有物质运输的作用</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B．动物细胞间的黏着性与细胞膜上的糖蛋白有关学科网</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C．ATP水解释放的能量可用于细胞内的吸能反应</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D．哺乳动物的细胞可以合成蔗糖，也可以合成乳糖</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2．同一动物个体的神经细胞与肌细胞在功能上是不同的，造成这种差异的主要原因是（）</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A．二者所处的细胞周期不同            B．二者合成的特定蛋白不同</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C．二者所含有的基因组不同            D．二者核DNA的复制方式不同</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3．关于正常情况下组织液生成与回流的叙述，错误的是（     ）</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A．生成与回流的组织液中氧气的含量相等</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B．组织液不断生成与回流，并保持动态平衡</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C．血浆中的有些物质经毛细血管动脉端进入组织液</w:t>
      </w:r>
    </w:p>
    <w:bookmarkEnd w:id="0"/>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D．组织液中的有些物质经毛细血管静脉端进入血液</w:t>
      </w:r>
    </w:p>
    <w:p>
      <w:pPr>
        <w:keepNext w:val="0"/>
        <w:keepLines w:val="0"/>
        <w:pageBreakBefore w:val="0"/>
        <w:kinsoku/>
        <w:wordWrap/>
        <w:overflowPunct/>
        <w:topLinePunct w:val="0"/>
        <w:autoSpaceDE/>
        <w:autoSpaceDN/>
        <w:bidi w:val="0"/>
        <w:adjustRightInd/>
        <w:snapToGrid/>
        <w:spacing w:line="360" w:lineRule="auto"/>
        <w:ind w:left="315" w:right="0" w:rightChars="0" w:hanging="315" w:hanging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将某植物花冠切成大小和形状相同的细条，分为a、b、c、d、e和f组（每组的细条数相等），取上述6组细条分别置于不同浓度的蔗糖溶液中，浸泡相同时间后测量各组花冠细条的长度，结果如图所示。假如蔗糖溶液与花冠细胞之间只有水分交换，则（    ）</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1723390" cy="1475740"/>
            <wp:effectExtent l="0" t="0" r="10160" b="10160"/>
            <wp:docPr id="3" name="图片 10" descr="课标2卷第四题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课标2卷第四题题图"/>
                    <pic:cNvPicPr>
                      <a:picLocks noChangeAspect="1"/>
                    </pic:cNvPicPr>
                  </pic:nvPicPr>
                  <pic:blipFill>
                    <a:blip r:embed="rId4"/>
                    <a:stretch>
                      <a:fillRect/>
                    </a:stretch>
                  </pic:blipFill>
                  <pic:spPr>
                    <a:xfrm>
                      <a:off x="0" y="0"/>
                      <a:ext cx="1723390" cy="147574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A．实验后，a组液泡中的溶质浓度比b组的高</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B．浸泡导致f组细胞中液泡的失水量小于b组的</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C．a组细胞放在蔗糖溶液中失水或吸水所耗ATP大于b组</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D．使细条在浸泡前后长度不变的蔗糖浓度介于0.4～0.5mol﹒L</w:t>
      </w:r>
      <w:r>
        <w:rPr>
          <w:rFonts w:hint="eastAsia" w:asciiTheme="minorEastAsia" w:hAnsiTheme="minorEastAsia" w:eastAsiaTheme="minorEastAsia" w:cstheme="minorEastAsia"/>
          <w:sz w:val="21"/>
          <w:szCs w:val="21"/>
          <w:vertAlign w:val="superscript"/>
        </w:rPr>
        <w:t>-1</w:t>
      </w:r>
      <w:r>
        <w:rPr>
          <w:rFonts w:hint="eastAsia" w:asciiTheme="minorEastAsia" w:hAnsiTheme="minorEastAsia" w:eastAsiaTheme="minorEastAsia" w:cstheme="minorEastAsia"/>
          <w:sz w:val="21"/>
          <w:szCs w:val="21"/>
        </w:rPr>
        <w:t>之间</w:t>
      </w:r>
    </w:p>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5．关于核酸的叙述，错误的是（     ）</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A．细胞核中发生的转录过程有RNA聚合酶的参与</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B．植物细胞的线粒体和叶绿体中均可发生DNA的复制</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C．双链DNA分子中一条链上磷酸和核糖是通过氢键连接的</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D．用甲基绿和吡罗红染色可观察DNA和RNA在细胞中的分布</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6．关于光合作用和呼吸作用的叙述，错误的是（     ）</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A．磷酸是光反应中合成ATP所需的反应物</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B．光合作用中叶绿素吸收光能不需要酶的参与</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C．人体在剧烈运动时所需的能量由乳酸分解提供</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D．病毒核酸的复制需要宿主细胞的呼吸作用提供能量</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29.(10分)</w:t>
      </w:r>
    </w:p>
    <w:p>
      <w:pPr>
        <w:keepNext w:val="0"/>
        <w:keepLines w:val="0"/>
        <w:pageBreakBefore w:val="0"/>
        <w:kinsoku/>
        <w:wordWrap/>
        <w:overflowPunct/>
        <w:topLinePunct w:val="0"/>
        <w:autoSpaceDE/>
        <w:autoSpaceDN/>
        <w:bidi w:val="0"/>
        <w:adjustRightInd/>
        <w:snapToGrid/>
        <w:spacing w:line="360" w:lineRule="auto"/>
        <w:ind w:right="0" w:rightChars="0" w:firstLine="315" w:firstLineChars="1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某植物净光合速率的变化趋势如图所示。</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anchor distT="0" distB="0" distL="114300" distR="114300" simplePos="0" relativeHeight="251812864" behindDoc="0" locked="0" layoutInCell="1" allowOverlap="1">
            <wp:simplePos x="0" y="0"/>
            <wp:positionH relativeFrom="column">
              <wp:posOffset>38100</wp:posOffset>
            </wp:positionH>
            <wp:positionV relativeFrom="paragraph">
              <wp:posOffset>0</wp:posOffset>
            </wp:positionV>
            <wp:extent cx="3058795" cy="1410335"/>
            <wp:effectExtent l="0" t="0" r="8255" b="18415"/>
            <wp:wrapNone/>
            <wp:docPr id="2" name="图片 3" descr="29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29题图"/>
                    <pic:cNvPicPr>
                      <a:picLocks noChangeAspect="1"/>
                    </pic:cNvPicPr>
                  </pic:nvPicPr>
                  <pic:blipFill>
                    <a:blip r:embed="rId5"/>
                    <a:stretch>
                      <a:fillRect/>
                    </a:stretch>
                  </pic:blipFill>
                  <pic:spPr>
                    <a:xfrm>
                      <a:off x="0" y="0"/>
                      <a:ext cx="3058795" cy="1410335"/>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据图回答下列问题：</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（1）当CO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浓度为a时，高光强下该植物的净光合速率为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1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①</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浓度在a～b之间时，曲线</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2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②</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表示了净光合速率随CO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浓度的增高而增高。</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浓度大于c时，曲线B和C所表示的净光合速率不再增加，限制其增加的环境因素是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3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③</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（3）当环境中CO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浓度小于a时，在图示的3种光强下，该植物呼吸作用产生的CO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量</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4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④</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 xml:space="preserve"> (填“大于”、“等于”或“小于”)光合作用吸收的CO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量。</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（4）据图可推测，在温室中，若要采取提高CO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浓度的措施来提高该种植物的产量，还应该同时考虑</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5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⑤</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这一因素的影响，并采取相应措施。</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30.（9分）</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为了探究某种复方草药对某种细菌性乳腺炎的疗效是否与机体学科网免疫功能增强有关，某研究小组将细菌性乳腺炎模型小鼠随机分为实验组（草药灌胃）、空白对照组（蒸馏水灌胃）和阳性对照组（免疫增强剂A灌胃），并检测免疫指标。</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回答下列问题：</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（1）研究发现，实验组小鼠吞噬细胞的吞噬能力显著高于阳性对照组，极显著高于空白对照组。这一结果至少说明该草药增强了小鼠的非特异性免疫功能。非特异性免疫的特点是</w:t>
      </w:r>
      <w:r>
        <w:rPr>
          <w:rFonts w:hint="eastAsia" w:asciiTheme="minorEastAsia" w:hAnsiTheme="minorEastAsia" w:eastAsiaTheme="minorEastAsia" w:cstheme="minorEastAsia"/>
          <w:sz w:val="21"/>
          <w:szCs w:val="21"/>
          <w:u w:val="single"/>
        </w:rPr>
        <w:t xml:space="preserve">       ①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研究还发现：实验组小鼠的T细胞含量显著高于空白对照组，与阳性对照组相近。这一结果说明：该草药可能通过提高小鼠的T细胞含量来增强其特异性免疫功能。通常，在细胞免疫过程中，效应T细胞的作用是</w:t>
      </w:r>
      <w:r>
        <w:rPr>
          <w:rFonts w:hint="eastAsia" w:asciiTheme="minorEastAsia" w:hAnsiTheme="minorEastAsia" w:eastAsiaTheme="minorEastAsia" w:cstheme="minorEastAsia"/>
          <w:sz w:val="21"/>
          <w:szCs w:val="21"/>
          <w:u w:val="single"/>
        </w:rPr>
        <w:t xml:space="preserve">      ②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（3）在特异性免疫中，T细胞可产生</w:t>
      </w:r>
      <w:r>
        <w:rPr>
          <w:rFonts w:hint="eastAsia" w:asciiTheme="minorEastAsia" w:hAnsiTheme="minorEastAsia" w:eastAsiaTheme="minorEastAsia" w:cstheme="minorEastAsia"/>
          <w:sz w:val="21"/>
          <w:szCs w:val="21"/>
          <w:u w:val="single"/>
        </w:rPr>
        <w:t xml:space="preserve">   ③   </w:t>
      </w:r>
      <w:r>
        <w:rPr>
          <w:rFonts w:hint="eastAsia" w:asciiTheme="minorEastAsia" w:hAnsiTheme="minorEastAsia" w:eastAsiaTheme="minorEastAsia" w:cstheme="minorEastAsia"/>
          <w:sz w:val="21"/>
          <w:szCs w:val="21"/>
        </w:rPr>
        <w:t>因子，受到抗原刺激的</w:t>
      </w:r>
      <w:r>
        <w:rPr>
          <w:rFonts w:hint="eastAsia" w:asciiTheme="minorEastAsia" w:hAnsiTheme="minorEastAsia" w:eastAsiaTheme="minorEastAsia" w:cstheme="minorEastAsia"/>
          <w:sz w:val="21"/>
          <w:szCs w:val="21"/>
          <w:u w:val="single"/>
        </w:rPr>
        <w:t xml:space="preserve">   ④   </w:t>
      </w:r>
      <w:r>
        <w:rPr>
          <w:rFonts w:hint="eastAsia" w:asciiTheme="minorEastAsia" w:hAnsiTheme="minorEastAsia" w:eastAsiaTheme="minorEastAsia" w:cstheme="minorEastAsia"/>
          <w:sz w:val="21"/>
          <w:szCs w:val="21"/>
        </w:rPr>
        <w:t>细胞可在该因子的作用下，增殖分化为浆细胞，浆细胞产生</w:t>
      </w:r>
      <w:r>
        <w:rPr>
          <w:rFonts w:hint="eastAsia" w:asciiTheme="minorEastAsia" w:hAnsiTheme="minorEastAsia" w:eastAsiaTheme="minorEastAsia" w:cstheme="minorEastAsia"/>
          <w:sz w:val="21"/>
          <w:szCs w:val="21"/>
          <w:u w:val="single"/>
        </w:rPr>
        <w:t xml:space="preserve">    ⑤   </w:t>
      </w:r>
      <w:r>
        <w:rPr>
          <w:rFonts w:hint="eastAsia" w:asciiTheme="minorEastAsia" w:hAnsiTheme="minorEastAsia" w:eastAsiaTheme="minorEastAsia" w:cstheme="minorEastAsia"/>
          <w:sz w:val="21"/>
          <w:szCs w:val="21"/>
        </w:rPr>
        <w:t>，参与体液免疫过程。</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31．（9分）</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某陆地生态系统中，除分解者外，仅有甲、乙、丙、丁、戊5个种群。调查得知，该生态系统有4个营养级，营养级之间的能量传效率为10%～20%，且每个种群只处于一个营养级。一年内输入各种群的能量数值如下表所示，表中能量数值的单位相同。</w:t>
      </w:r>
    </w:p>
    <w:tbl>
      <w:tblPr>
        <w:tblStyle w:val="3"/>
        <w:tblW w:w="680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种群</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甲</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乙</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丙</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丁</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能量</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3.56</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12.80</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10.30</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0.48</w:t>
            </w:r>
          </w:p>
        </w:tc>
        <w:tc>
          <w:tcPr>
            <w:tcW w:w="1134" w:type="dxa"/>
            <w:vAlign w:val="center"/>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226.50</w:t>
            </w:r>
          </w:p>
        </w:tc>
      </w:tr>
    </w:tbl>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回答下列问题：</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（1）请画出该生态系统中的食物网。</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（2）甲和乙的种间关系是</w:t>
      </w:r>
      <w:r>
        <w:rPr>
          <w:rFonts w:hint="eastAsia" w:asciiTheme="minorEastAsia" w:hAnsiTheme="minorEastAsia" w:eastAsiaTheme="minorEastAsia" w:cstheme="minorEastAsia"/>
          <w:sz w:val="21"/>
          <w:szCs w:val="21"/>
          <w:u w:val="single"/>
        </w:rPr>
        <w:t xml:space="preserve">  ①  </w:t>
      </w:r>
      <w:r>
        <w:rPr>
          <w:rFonts w:hint="eastAsia" w:asciiTheme="minorEastAsia" w:hAnsiTheme="minorEastAsia" w:eastAsiaTheme="minorEastAsia" w:cstheme="minorEastAsia"/>
          <w:sz w:val="21"/>
          <w:szCs w:val="21"/>
        </w:rPr>
        <w:t>；种群丁是该生态系统生物组分中的</w:t>
      </w:r>
      <w:r>
        <w:rPr>
          <w:rFonts w:hint="eastAsia" w:asciiTheme="minorEastAsia" w:hAnsiTheme="minorEastAsia" w:eastAsiaTheme="minorEastAsia" w:cstheme="minorEastAsia"/>
          <w:sz w:val="21"/>
          <w:szCs w:val="21"/>
          <w:u w:val="single"/>
        </w:rPr>
        <w:t xml:space="preserve"> ②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（3）一般来说，生态系统的主要功能包括</w:t>
      </w:r>
      <w:r>
        <w:rPr>
          <w:rFonts w:hint="eastAsia" w:asciiTheme="minorEastAsia" w:hAnsiTheme="minorEastAsia" w:eastAsiaTheme="minorEastAsia" w:cstheme="minorEastAsia"/>
          <w:sz w:val="21"/>
          <w:szCs w:val="21"/>
          <w:u w:val="single"/>
        </w:rPr>
        <w:t xml:space="preserve">   ③   </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u w:val="single"/>
        </w:rPr>
        <w:t xml:space="preserve">  ④  </w:t>
      </w:r>
      <w:r>
        <w:rPr>
          <w:rFonts w:hint="eastAsia" w:asciiTheme="minorEastAsia" w:hAnsiTheme="minorEastAsia" w:eastAsiaTheme="minorEastAsia" w:cstheme="minorEastAsia"/>
          <w:sz w:val="21"/>
          <w:szCs w:val="21"/>
        </w:rPr>
        <w:t>，学科网此外还具有信息传递等功能。碳对生物和生态系统具有重要意义，碳在</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5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⑤</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和</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6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⑥</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之间的循环主要以CO</w:t>
      </w:r>
      <w:r>
        <w:rPr>
          <w:rFonts w:hint="eastAsia" w:asciiTheme="minorEastAsia" w:hAnsiTheme="minorEastAsia" w:eastAsiaTheme="minorEastAsia" w:cstheme="minorEastAsia"/>
          <w:sz w:val="21"/>
          <w:szCs w:val="21"/>
          <w:vertAlign w:val="subscript"/>
        </w:rPr>
        <w:t>2</w:t>
      </w:r>
      <w:r>
        <w:rPr>
          <w:rFonts w:hint="eastAsia" w:asciiTheme="minorEastAsia" w:hAnsiTheme="minorEastAsia" w:eastAsiaTheme="minorEastAsia" w:cstheme="minorEastAsia"/>
          <w:sz w:val="21"/>
          <w:szCs w:val="21"/>
        </w:rPr>
        <w:t>的形式进行。</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32．（11分）</w:t>
      </w:r>
    </w:p>
    <w:p>
      <w:pPr>
        <w:keepNext w:val="0"/>
        <w:keepLines w:val="0"/>
        <w:pageBreakBefore w:val="0"/>
        <w:kinsoku/>
        <w:wordWrap/>
        <w:overflowPunct/>
        <w:topLinePunct w:val="0"/>
        <w:autoSpaceDE/>
        <w:autoSpaceDN/>
        <w:bidi w:val="0"/>
        <w:adjustRightInd/>
        <w:snapToGrid/>
        <w:spacing w:line="360" w:lineRule="auto"/>
        <w:ind w:left="420" w:leftChars="200"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山羊性别决定方式为XY型。下面的系谱图表示了山羊某种性状的遗传，图中深色表示该种性状的表现者。</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2437130" cy="962025"/>
            <wp:effectExtent l="0" t="0" r="1270" b="9525"/>
            <wp:docPr id="6" name="图片 11" descr="32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32题图"/>
                    <pic:cNvPicPr>
                      <a:picLocks noChangeAspect="1"/>
                    </pic:cNvPicPr>
                  </pic:nvPicPr>
                  <pic:blipFill>
                    <a:blip r:embed="rId6"/>
                    <a:stretch>
                      <a:fillRect/>
                    </a:stretch>
                  </pic:blipFill>
                  <pic:spPr>
                    <a:xfrm>
                      <a:off x="0" y="0"/>
                      <a:ext cx="2437130" cy="9620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left="420" w:leftChars="200" w:right="0" w:rightChars="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已知该性状受一对等位基因控制，在不考虑染色体变异和基因突变的条件下，回答下列问题：</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（1）据系谱图推测，该性状为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1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①</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（填“隐性”或“显性”）性状。</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（2）假设控制该性状的基因位于Y染色体上，依照Y染色体上基因的遗传规律，在第Ⅲ代中表现型不符合该基因遗传规律的个体是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2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②</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（填个体编号）。</w:t>
      </w:r>
    </w:p>
    <w:p>
      <w:pPr>
        <w:keepNext w:val="0"/>
        <w:keepLines w:val="0"/>
        <w:pageBreakBefore w:val="0"/>
        <w:kinsoku/>
        <w:wordWrap/>
        <w:overflowPunct/>
        <w:topLinePunct w:val="0"/>
        <w:autoSpaceDE/>
        <w:autoSpaceDN/>
        <w:bidi w:val="0"/>
        <w:adjustRightInd/>
        <w:snapToGrid/>
        <w:spacing w:line="360" w:lineRule="auto"/>
        <w:ind w:left="840" w:leftChars="200" w:right="0" w:rightChars="0" w:hanging="420" w:hanging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（3）若控制该性状的基因仅位于X染色体上，则系谱图中一定是杂合子的个体是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3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③</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（填个体编号），可能是杂合子的个体是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rPr>
        <w:fldChar w:fldCharType="begin"/>
      </w:r>
      <w:r>
        <w:rPr>
          <w:rFonts w:hint="eastAsia" w:asciiTheme="minorEastAsia" w:hAnsiTheme="minorEastAsia" w:eastAsiaTheme="minorEastAsia" w:cstheme="minorEastAsia"/>
          <w:sz w:val="21"/>
          <w:szCs w:val="21"/>
          <w:u w:val="single"/>
        </w:rPr>
        <w:instrText xml:space="preserve"> = 4 \* GB3 \* MERGEFORMAT </w:instrText>
      </w:r>
      <w:r>
        <w:rPr>
          <w:rFonts w:hint="eastAsia" w:asciiTheme="minorEastAsia" w:hAnsiTheme="minorEastAsia" w:eastAsiaTheme="minorEastAsia" w:cstheme="minorEastAsia"/>
          <w:sz w:val="21"/>
          <w:szCs w:val="21"/>
          <w:u w:val="single"/>
        </w:rPr>
        <w:fldChar w:fldCharType="separate"/>
      </w:r>
      <w:r>
        <w:rPr>
          <w:rFonts w:hint="eastAsia" w:asciiTheme="minorEastAsia" w:hAnsiTheme="minorEastAsia" w:eastAsiaTheme="minorEastAsia" w:cstheme="minorEastAsia"/>
          <w:sz w:val="21"/>
          <w:szCs w:val="21"/>
          <w:u w:val="single"/>
        </w:rPr>
        <w:t>④</w:t>
      </w:r>
      <w:r>
        <w:rPr>
          <w:rFonts w:hint="eastAsia" w:asciiTheme="minorEastAsia" w:hAnsiTheme="minorEastAsia" w:eastAsiaTheme="minorEastAsia" w:cstheme="minorEastAsia"/>
          <w:sz w:val="21"/>
          <w:szCs w:val="21"/>
          <w:u w:val="single"/>
        </w:rPr>
        <w:fldChar w:fldCharType="end"/>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（填个体编号）。</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39．[生物——选修1：生物技术实践]（15分）</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为了调查某河流的水质状况，某研究小组测定了该河流学科网水样中的细菌含量，并进行了细菌的分离等工作。回答下列问题：</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（1）该小组采用稀释涂布平板法检测水样中的细菌含量。在涂布接种前，随机取若干灭菌后的空平板先行培养了一段时间，这样做的目的是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；然后，将1mL水样稀释100倍，在3个平板上用涂布法分别接入0.1mL稀释液；经适当培养后，3个平板上的菌落数分别为39、38和37。据此可得出每升水样中的活菌数为</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（2）该小组采用平板划线法分离水样中的细菌。操作时，接种环通过</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灭菌，在第二次及以后划线时，总是从上一次的末端开始划线。这样做的目的是</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（3）示意图A和B中，</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表示的是用稀释涂布平板法接种培养后得到的结果。</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anchor distT="0" distB="0" distL="114300" distR="114300" simplePos="0" relativeHeight="251813888" behindDoc="0" locked="0" layoutInCell="1" allowOverlap="0">
            <wp:simplePos x="0" y="0"/>
            <wp:positionH relativeFrom="column">
              <wp:posOffset>571500</wp:posOffset>
            </wp:positionH>
            <wp:positionV relativeFrom="paragraph">
              <wp:posOffset>95250</wp:posOffset>
            </wp:positionV>
            <wp:extent cx="3115945" cy="1533525"/>
            <wp:effectExtent l="0" t="0" r="8255"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115945" cy="1533525"/>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jc w:val="left"/>
        <w:textAlignment w:val="auto"/>
        <w:rPr>
          <w:rFonts w:hint="eastAsia" w:asciiTheme="minorEastAsia" w:hAnsiTheme="minorEastAsia" w:eastAsiaTheme="minorEastAsia" w:cstheme="minorEastAsia"/>
          <w:sz w:val="21"/>
          <w:szCs w:val="21"/>
          <w:u w:val="single"/>
        </w:rPr>
      </w:pPr>
      <w:r>
        <w:rPr>
          <w:rFonts w:hint="eastAsia" w:asciiTheme="minorEastAsia" w:hAnsiTheme="minorEastAsia" w:eastAsiaTheme="minorEastAsia" w:cstheme="minorEastAsia"/>
          <w:sz w:val="21"/>
          <w:szCs w:val="21"/>
        </w:rPr>
        <w:t>（4）该小组将得到的菌株接种到液体培养基中并混匀，一部分进行静置培养，另一部分进行振荡培养。结果发现：振荡培养的细菌比静置培养的细菌生长速度快。分析其原因是：振荡培养能提高培养液的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的含量，同时可以学科网使菌体与培养液充分接触，提高</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的利用率。</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40．[生物——选修3：现代生物科技专题](15分)</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植物甲具有极强的耐旱性，其耐旱性与某个基因有关。若从该植物中获得该耐旱基因，并将其转移到耐旱性低的植物乙中，有可能提高后者的耐旱性。</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回答下列问题：</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（1）理论上，基因组文库含有生物的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基因；而cDNA文库中含有生物的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基因。</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（2）若要从植物甲中获得耐旱基因，可首先建立该植物的基因组文库，再从中</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出所需的耐旱基因。</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（3）将耐旱基因导入农杆菌，并通过农杆菌转化法将其导入植物</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的体细胞中，经过一系列的过程得到再生植株。要确认该耐旱基因是否在再生植株中正确表达，应检测此再生植株中该基因的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，如果检测结果呈阳性，再在学科网田间试验中检测植株的</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是否得到提高。</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（4）假如用得到的二倍体转基因耐旱植株自交，子代中耐旱与不耐旱植株的数量比为3∶1时，则可推测该耐旱基因整合到了</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rPr>
        <w:t>（填“同源染色体的一条上”或“同源染色体的两条上”）。</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316" w:firstLineChars="150"/>
        <w:jc w:val="center"/>
        <w:textAlignment w:val="auto"/>
        <w:rPr>
          <w:rFonts w:hint="eastAsia" w:asciiTheme="minorEastAsia" w:hAnsiTheme="minorEastAsia" w:eastAsiaTheme="minorEastAsia" w:cstheme="minorEastAsia"/>
          <w:b/>
          <w:bCs/>
          <w:color w:val="000000"/>
          <w:sz w:val="21"/>
          <w:szCs w:val="21"/>
        </w:rPr>
      </w:pPr>
      <w:r>
        <w:rPr>
          <w:rFonts w:hint="eastAsia" w:asciiTheme="minorEastAsia" w:hAnsiTheme="minorEastAsia" w:eastAsiaTheme="minorEastAsia" w:cstheme="minorEastAsia"/>
          <w:b/>
          <w:bCs/>
          <w:sz w:val="21"/>
          <w:szCs w:val="21"/>
        </w:rPr>
        <w:t>20</w:t>
      </w:r>
      <w:r>
        <w:rPr>
          <w:rFonts w:hint="eastAsia" w:asciiTheme="minorEastAsia" w:hAnsiTheme="minorEastAsia" w:eastAsiaTheme="minorEastAsia" w:cstheme="minorEastAsia"/>
          <w:b/>
          <w:bCs/>
          <w:sz w:val="21"/>
          <w:szCs w:val="21"/>
          <w:lang w:val="en-US" w:eastAsia="zh-CN"/>
        </w:rPr>
        <w:t>14</w:t>
      </w:r>
      <w:r>
        <w:rPr>
          <w:rFonts w:hint="eastAsia" w:asciiTheme="minorEastAsia" w:hAnsiTheme="minorEastAsia" w:eastAsiaTheme="minorEastAsia" w:cstheme="minorEastAsia"/>
          <w:b/>
          <w:bCs/>
          <w:sz w:val="21"/>
          <w:szCs w:val="21"/>
        </w:rPr>
        <w:t>年普通高等学校招生全国Ⅱ统一考试</w:t>
      </w:r>
    </w:p>
    <w:p>
      <w:pPr>
        <w:keepNext w:val="0"/>
        <w:keepLines w:val="0"/>
        <w:pageBreakBefore w:val="0"/>
        <w:kinsoku/>
        <w:wordWrap/>
        <w:overflowPunct/>
        <w:topLinePunct w:val="0"/>
        <w:autoSpaceDE/>
        <w:autoSpaceDN/>
        <w:bidi w:val="0"/>
        <w:adjustRightInd/>
        <w:snapToGrid/>
        <w:spacing w:line="360" w:lineRule="auto"/>
        <w:ind w:right="0" w:rightChars="0" w:firstLine="316" w:firstLineChars="150"/>
        <w:jc w:val="center"/>
        <w:textAlignment w:val="auto"/>
        <w:rPr>
          <w:rFonts w:hint="eastAsia" w:asciiTheme="minorEastAsia" w:hAnsiTheme="minorEastAsia" w:eastAsiaTheme="minorEastAsia" w:cstheme="minorEastAsia"/>
          <w:b/>
          <w:bCs/>
          <w:color w:val="000000"/>
          <w:sz w:val="21"/>
          <w:szCs w:val="21"/>
          <w:lang w:val="en-US" w:eastAsia="zh-CN"/>
        </w:rPr>
      </w:pPr>
      <w:r>
        <w:rPr>
          <w:rFonts w:hint="eastAsia" w:asciiTheme="minorEastAsia" w:hAnsiTheme="minorEastAsia" w:eastAsiaTheme="minorEastAsia" w:cstheme="minorEastAsia"/>
          <w:b/>
          <w:bCs/>
          <w:color w:val="000000"/>
          <w:sz w:val="21"/>
          <w:szCs w:val="21"/>
          <w:lang w:val="en-US" w:eastAsia="zh-CN"/>
        </w:rPr>
        <w:t>参考答案</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答案：</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1~6：DBADCC</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29.【答案】</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（1）①0    ②A、B、C     （2）③光强   （3）④大于     （4）⑤光强</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30.【答案】</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（1）①机体生来就有的，不针对某一类特定病原体，而是对多种病原体都有一定的防御作用</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（2）②识别并与被病原体入侵的宿主细胞紧密接触，可使之裂解死亡</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（3）③淋巴      ④B          ⑤抗体</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31.【答案】</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anchor distT="0" distB="0" distL="114300" distR="114300" simplePos="0" relativeHeight="251814912" behindDoc="0" locked="0" layoutInCell="1" allowOverlap="1">
            <wp:simplePos x="0" y="0"/>
            <wp:positionH relativeFrom="column">
              <wp:posOffset>915670</wp:posOffset>
            </wp:positionH>
            <wp:positionV relativeFrom="paragraph">
              <wp:posOffset>175260</wp:posOffset>
            </wp:positionV>
            <wp:extent cx="1564005" cy="704215"/>
            <wp:effectExtent l="0" t="0" r="17145" b="635"/>
            <wp:wrapNone/>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8"/>
                    <a:stretch>
                      <a:fillRect/>
                    </a:stretch>
                  </pic:blipFill>
                  <pic:spPr>
                    <a:xfrm>
                      <a:off x="0" y="0"/>
                      <a:ext cx="1564005" cy="704215"/>
                    </a:xfrm>
                    <a:prstGeom prst="rect">
                      <a:avLst/>
                    </a:prstGeom>
                    <a:noFill/>
                    <a:ln w="9525">
                      <a:noFill/>
                    </a:ln>
                  </pic:spPr>
                </pic:pic>
              </a:graphicData>
            </a:graphic>
          </wp:anchor>
        </w:drawing>
      </w:r>
      <w:r>
        <w:rPr>
          <w:rFonts w:hint="eastAsia" w:asciiTheme="minorEastAsia" w:hAnsiTheme="minorEastAsia" w:eastAsiaTheme="minorEastAsia" w:cstheme="minorEastAsia"/>
          <w:sz w:val="21"/>
          <w:szCs w:val="21"/>
        </w:rPr>
        <w:t>（1）</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1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①</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捕食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2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②</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消费者</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3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③</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物质循环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4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④</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能量流动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5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⑤</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生物群落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6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⑥</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无机环境</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32.【答案】</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1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①</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隐性 </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2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②</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Ⅲ-1、Ⅲ-3和Ⅲ-4  </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3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③</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Ⅰ-2、Ⅱ-2、Ⅱ-4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 4 \* GB3 \* MERGEFORMAT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④</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Ⅲ-2</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39.【答案】</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（1）检测培养基平板灭菌是否合格       3.8×10</w:t>
      </w:r>
      <w:r>
        <w:rPr>
          <w:rFonts w:hint="eastAsia" w:asciiTheme="minorEastAsia" w:hAnsiTheme="minorEastAsia" w:eastAsiaTheme="minorEastAsia" w:cstheme="minorEastAsia"/>
          <w:position w:val="-4"/>
          <w:sz w:val="21"/>
          <w:szCs w:val="21"/>
        </w:rPr>
        <w:object>
          <v:shape id="_x0000_i1025" o:spt="75" type="#_x0000_t75" style="height:15pt;width:8pt;" o:ole="t" filled="f" o:preferrelative="t" stroked="f" coordsize="21600,21600">
            <v:path/>
            <v:fill on="f" focussize="0,0"/>
            <v:stroke on="f"/>
            <v:imagedata r:id="rId10" o:title=""/>
            <o:lock v:ext="edit" grouping="f" rotation="f" text="f" aspectratio="t"/>
            <w10:wrap type="none"/>
            <w10:anchorlock/>
          </v:shape>
          <o:OLEObject Type="Embed" ProgID="Equation.KSEE3" ShapeID="_x0000_i1025" DrawAspect="Content" ObjectID="_1468075725" r:id="rId9">
            <o:LockedField>false</o:LockedField>
          </o:OLEObject>
        </w:objec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（2）灼烧；    将聚集的菌体逐步稀释以便获得单个菌落</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（3）B         ⑷、溶解氧     营养物质</w:t>
      </w:r>
    </w:p>
    <w:p>
      <w:pPr>
        <w:keepNext w:val="0"/>
        <w:keepLines w:val="0"/>
        <w:pageBreakBefore w:val="0"/>
        <w:kinsoku/>
        <w:wordWrap/>
        <w:overflowPunct/>
        <w:topLinePunct w:val="0"/>
        <w:autoSpaceDE/>
        <w:autoSpaceDN/>
        <w:bidi w:val="0"/>
        <w:adjustRightInd/>
        <w:snapToGrid/>
        <w:spacing w:line="360" w:lineRule="auto"/>
        <w:ind w:left="943" w:leftChars="199"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（2）接种时接种环需要灼烧灭菌；在第二次及以后学科网划线时，总是从上一次的末端开始划线，这样做的目的是：通过划线次数的增加，使每次划线时菌体的数目逐渐减少，以便得到菌落。</w:t>
      </w:r>
    </w:p>
    <w:p>
      <w:pPr>
        <w:keepNext w:val="0"/>
        <w:keepLines w:val="0"/>
        <w:pageBreakBefore w:val="0"/>
        <w:kinsoku/>
        <w:wordWrap/>
        <w:overflowPunct/>
        <w:topLinePunct w:val="0"/>
        <w:autoSpaceDE/>
        <w:autoSpaceDN/>
        <w:bidi w:val="0"/>
        <w:adjustRightInd/>
        <w:snapToGrid/>
        <w:spacing w:line="360" w:lineRule="auto"/>
        <w:ind w:left="-2" w:leftChars="-1"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（3）由题图可知B图为平板划线法接种的结果（菌落相对均匀分布）。</w:t>
      </w:r>
    </w:p>
    <w:p>
      <w:pPr>
        <w:keepNext w:val="0"/>
        <w:keepLines w:val="0"/>
        <w:pageBreakBefore w:val="0"/>
        <w:kinsoku/>
        <w:wordWrap/>
        <w:overflowPunct/>
        <w:topLinePunct w:val="0"/>
        <w:autoSpaceDE/>
        <w:autoSpaceDN/>
        <w:bidi w:val="0"/>
        <w:adjustRightInd/>
        <w:snapToGrid/>
        <w:spacing w:line="360" w:lineRule="auto"/>
        <w:ind w:left="945" w:leftChars="200" w:right="0" w:rightChars="0" w:hanging="525" w:hangingChars="25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（4）震荡培养可以增加液体培养基的氧气含量，促进好氧型微生物的生长；另外震荡培养还可以使菌体与培养液充分接触，提高营养物质的利用率。</w:t>
      </w: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40.【答案】</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（1）全部       部分</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（2）筛选</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（3）乙         表达产物          耐旱性</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（4）同源染色体的一条上</w:t>
      </w:r>
    </w:p>
    <w:p>
      <w:pPr>
        <w:keepNext w:val="0"/>
        <w:keepLines w:val="0"/>
        <w:pageBreakBefore w:val="0"/>
        <w:kinsoku/>
        <w:wordWrap/>
        <w:overflowPunct/>
        <w:topLinePunct w:val="0"/>
        <w:autoSpaceDE/>
        <w:autoSpaceDN/>
        <w:bidi w:val="0"/>
        <w:adjustRightInd/>
        <w:snapToGrid/>
        <w:spacing w:line="360" w:lineRule="auto"/>
        <w:ind w:right="0" w:rightChars="0" w:firstLine="210" w:firstLineChars="10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heme="minorEastAsia" w:hAnsiTheme="minorEastAsia" w:eastAsiaTheme="minorEastAsia" w:cstheme="minorEastAsia"/>
          <w:sz w:val="21"/>
          <w:szCs w:val="21"/>
        </w:rPr>
      </w:pP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6D767F"/>
    <w:rsid w:val="626D767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2018-06-22T08:39:00Z</dcterms:created>
  <dc:creator>tuzi</dc:creator>
  <cp:lastModifiedBy>tuzi</cp:lastModifiedBy>
  <dcterms:modified xsi:type="dcterms:W3CDTF">2018-06-22T08:39:22Z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