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Cahier des charges</w:t>
      </w:r>
    </w:p>
    <w:p>
      <w:pPr>
        <w:spacing w:after="80"/>
      </w:pPr>
      <w:r>
        <w:rPr>
          <w:rFonts w:ascii="Arial" w:hAnsi="Arial"/>
          <w:b/>
          <w:sz w:val="44"/>
        </w:rPr>
        <w:t>BIC CECAM</w:t>
      </w:r>
    </w:p>
    <w:p>
      <w:pPr>
        <w:spacing w:after="360"/>
      </w:pPr>
      <w:r>
        <w:rPr>
          <w:rFonts w:ascii="Arial" w:hAnsi="Arial"/>
          <w:color w:val="55636D"/>
          <w:sz w:val="30"/>
        </w:rPr>
        <w:t>Application interne d’aide à l’analyse de dossiers de crédit individuels</w:t>
      </w:r>
    </w:p>
    <w:tbl>
      <w:tblPr>
        <w:tblW w:type="auto" w:w="0"/>
        <w:jc w:val="center"/>
        <w:tblLayout w:type="fixed"/>
        <w:tblLook w:firstColumn="1" w:firstRow="1" w:lastColumn="0" w:lastRow="0" w:noHBand="0" w:noVBand="1" w:val="04A0"/>
        <w:tblBorders>
          <w:top w:val="single" w:sz="5" w:space="0" w:color="CDD5DB"/>
          <w:left w:val="single" w:sz="5" w:space="0" w:color="CDD5DB"/>
          <w:bottom w:val="single" w:sz="5" w:space="0" w:color="CDD5DB"/>
          <w:right w:val="single" w:sz="5" w:space="0" w:color="CDD5DB"/>
          <w:insideH w:val="single" w:sz="5" w:space="0" w:color="CDD5DB"/>
          <w:insideV w:val="single" w:sz="5" w:space="0" w:color="CDD5DB"/>
        </w:tblBorders>
      </w:tblPr>
      <w:tblGrid>
        <w:gridCol w:w="4819"/>
        <w:gridCol w:w="4819"/>
      </w:tblGrid>
      <w:tr>
        <w:trPr>
          <w:tblHeader w:val="true"/>
          <w:cantSplit/>
        </w:trPr>
        <w:tc>
          <w:tcPr>
            <w:tcW w:type="dxa" w:w="2088"/>
            <w:vAlign w:val="center"/>
            <w:tcMar>
              <w:top w:w="90" w:type="dxa"/>
              <w:start w:w="100" w:type="dxa"/>
              <w:bottom w:w="90" w:type="dxa"/>
              <w:end w:w="100" w:type="dxa"/>
            </w:tcMar>
            <w:shd w:fill="243746"/>
          </w:tcPr>
          <w:p>
            <w:pPr>
              <w:spacing w:after="0" w:line="240" w:lineRule="auto"/>
            </w:pPr>
            <w:r/>
            <w:r>
              <w:rPr>
                <w:rFonts w:ascii="Arial" w:hAnsi="Arial"/>
                <w:b/>
                <w:color w:val="FFFFFF"/>
                <w:sz w:val="18"/>
              </w:rPr>
              <w:t>Repère</w:t>
            </w:r>
          </w:p>
        </w:tc>
        <w:tc>
          <w:tcPr>
            <w:tcW w:type="dxa" w:w="7416"/>
            <w:vAlign w:val="center"/>
            <w:tcMar>
              <w:top w:w="90" w:type="dxa"/>
              <w:start w:w="100" w:type="dxa"/>
              <w:bottom w:w="90" w:type="dxa"/>
              <w:end w:w="100" w:type="dxa"/>
            </w:tcMar>
            <w:shd w:fill="243746"/>
          </w:tcPr>
          <w:p>
            <w:pPr>
              <w:spacing w:after="0" w:line="240" w:lineRule="auto"/>
            </w:pPr>
            <w:r/>
            <w:r>
              <w:rPr>
                <w:rFonts w:ascii="Arial" w:hAnsi="Arial"/>
                <w:b/>
                <w:color w:val="FFFFFF"/>
                <w:sz w:val="18"/>
              </w:rPr>
              <w:t>Valeur</w:t>
            </w:r>
          </w:p>
        </w:tc>
      </w:tr>
      <w:tr>
        <w:trPr>
          <w:cantSplit/>
        </w:trPr>
        <w:tc>
          <w:tcPr>
            <w:tcW w:type="dxa" w:w="2088"/>
            <w:vAlign w:val="center"/>
            <w:tcMar>
              <w:top w:w="90" w:type="dxa"/>
              <w:start w:w="100" w:type="dxa"/>
              <w:bottom w:w="90" w:type="dxa"/>
              <w:end w:w="100" w:type="dxa"/>
            </w:tcMar>
            <w:shd w:fill="F3F6F8"/>
          </w:tcPr>
          <w:p>
            <w:pPr>
              <w:spacing w:after="0" w:line="240" w:lineRule="auto"/>
            </w:pPr>
            <w:r/>
            <w:r>
              <w:rPr>
                <w:rFonts w:ascii="Arial" w:hAnsi="Arial"/>
                <w:b/>
                <w:color w:val="000000"/>
                <w:sz w:val="18"/>
              </w:rPr>
              <w:t>Document</w:t>
            </w:r>
          </w:p>
        </w:tc>
        <w:tc>
          <w:tcPr>
            <w:tcW w:type="dxa" w:w="7416"/>
            <w:vAlign w:val="center"/>
            <w:tcMar>
              <w:top w:w="90" w:type="dxa"/>
              <w:start w:w="100" w:type="dxa"/>
              <w:bottom w:w="90" w:type="dxa"/>
              <w:end w:w="100" w:type="dxa"/>
            </w:tcMar>
          </w:tcPr>
          <w:p>
            <w:pPr>
              <w:spacing w:after="0" w:line="240" w:lineRule="auto"/>
            </w:pPr>
            <w:r/>
            <w:r>
              <w:rPr>
                <w:rFonts w:ascii="Arial" w:hAnsi="Arial"/>
                <w:b w:val="0"/>
                <w:color w:val="000000"/>
                <w:sz w:val="18"/>
              </w:rPr>
              <w:t>Version révisée pour présentation à l’encadreur</w:t>
            </w:r>
          </w:p>
        </w:tc>
      </w:tr>
      <w:tr>
        <w:trPr>
          <w:cantSplit/>
        </w:trPr>
        <w:tc>
          <w:tcPr>
            <w:tcW w:type="dxa" w:w="2088"/>
            <w:vAlign w:val="center"/>
            <w:tcMar>
              <w:top w:w="90" w:type="dxa"/>
              <w:start w:w="100" w:type="dxa"/>
              <w:bottom w:w="90" w:type="dxa"/>
              <w:end w:w="100" w:type="dxa"/>
            </w:tcMar>
            <w:shd w:fill="F3F6F8"/>
          </w:tcPr>
          <w:p>
            <w:pPr>
              <w:spacing w:after="0" w:line="240" w:lineRule="auto"/>
            </w:pPr>
            <w:r/>
            <w:r>
              <w:rPr>
                <w:rFonts w:ascii="Arial" w:hAnsi="Arial"/>
                <w:b/>
                <w:color w:val="000000"/>
                <w:sz w:val="18"/>
              </w:rPr>
              <w:t>Date de révision</w:t>
            </w:r>
          </w:p>
        </w:tc>
        <w:tc>
          <w:tcPr>
            <w:tcW w:type="dxa" w:w="7416"/>
            <w:vAlign w:val="center"/>
            <w:tcMar>
              <w:top w:w="90" w:type="dxa"/>
              <w:start w:w="100" w:type="dxa"/>
              <w:bottom w:w="90" w:type="dxa"/>
              <w:end w:w="100" w:type="dxa"/>
            </w:tcMar>
          </w:tcPr>
          <w:p>
            <w:pPr>
              <w:spacing w:after="0" w:line="240" w:lineRule="auto"/>
            </w:pPr>
            <w:r/>
            <w:r>
              <w:rPr>
                <w:rFonts w:ascii="Arial" w:hAnsi="Arial"/>
                <w:b w:val="0"/>
                <w:color w:val="000000"/>
                <w:sz w:val="18"/>
              </w:rPr>
              <w:t>9 octobre 2026</w:t>
            </w:r>
          </w:p>
        </w:tc>
      </w:tr>
      <w:tr>
        <w:trPr>
          <w:cantSplit/>
        </w:trPr>
        <w:tc>
          <w:tcPr>
            <w:tcW w:type="dxa" w:w="2088"/>
            <w:vAlign w:val="center"/>
            <w:tcMar>
              <w:top w:w="90" w:type="dxa"/>
              <w:start w:w="100" w:type="dxa"/>
              <w:bottom w:w="90" w:type="dxa"/>
              <w:end w:w="100" w:type="dxa"/>
            </w:tcMar>
            <w:shd w:fill="F3F6F8"/>
          </w:tcPr>
          <w:p>
            <w:pPr>
              <w:spacing w:after="0" w:line="240" w:lineRule="auto"/>
            </w:pPr>
            <w:r/>
            <w:r>
              <w:rPr>
                <w:rFonts w:ascii="Arial" w:hAnsi="Arial"/>
                <w:b/>
                <w:color w:val="000000"/>
                <w:sz w:val="18"/>
              </w:rPr>
              <w:t>Contexte</w:t>
            </w:r>
          </w:p>
        </w:tc>
        <w:tc>
          <w:tcPr>
            <w:tcW w:type="dxa" w:w="7416"/>
            <w:vAlign w:val="center"/>
            <w:tcMar>
              <w:top w:w="90" w:type="dxa"/>
              <w:start w:w="100" w:type="dxa"/>
              <w:bottom w:w="90" w:type="dxa"/>
              <w:end w:w="100" w:type="dxa"/>
            </w:tcMar>
          </w:tcPr>
          <w:p>
            <w:pPr>
              <w:spacing w:after="0" w:line="240" w:lineRule="auto"/>
            </w:pPr>
            <w:r/>
            <w:r>
              <w:rPr>
                <w:rFonts w:ascii="Arial" w:hAnsi="Arial"/>
                <w:b w:val="0"/>
                <w:color w:val="000000"/>
                <w:sz w:val="18"/>
              </w:rPr>
              <w:t>Projet de stage, prototype local</w:t>
            </w:r>
          </w:p>
        </w:tc>
      </w:tr>
      <w:tr>
        <w:trPr>
          <w:cantSplit/>
        </w:trPr>
        <w:tc>
          <w:tcPr>
            <w:tcW w:type="dxa" w:w="2088"/>
            <w:vAlign w:val="center"/>
            <w:tcMar>
              <w:top w:w="90" w:type="dxa"/>
              <w:start w:w="100" w:type="dxa"/>
              <w:bottom w:w="90" w:type="dxa"/>
              <w:end w:w="100" w:type="dxa"/>
            </w:tcMar>
            <w:shd w:fill="F3F6F8"/>
          </w:tcPr>
          <w:p>
            <w:pPr>
              <w:spacing w:after="0" w:line="240" w:lineRule="auto"/>
            </w:pPr>
            <w:r/>
            <w:r>
              <w:rPr>
                <w:rFonts w:ascii="Arial" w:hAnsi="Arial"/>
                <w:b/>
                <w:color w:val="000000"/>
                <w:sz w:val="18"/>
              </w:rPr>
              <w:t>Périmètre proposé</w:t>
            </w:r>
          </w:p>
        </w:tc>
        <w:tc>
          <w:tcPr>
            <w:tcW w:type="dxa" w:w="7416"/>
            <w:vAlign w:val="center"/>
            <w:tcMar>
              <w:top w:w="90" w:type="dxa"/>
              <w:start w:w="100" w:type="dxa"/>
              <w:bottom w:w="90" w:type="dxa"/>
              <w:end w:w="100" w:type="dxa"/>
            </w:tcMar>
          </w:tcPr>
          <w:p>
            <w:pPr>
              <w:spacing w:after="0" w:line="240" w:lineRule="auto"/>
            </w:pPr>
            <w:r/>
            <w:r>
              <w:rPr>
                <w:rFonts w:ascii="Arial" w:hAnsi="Arial"/>
                <w:b w:val="0"/>
                <w:color w:val="000000"/>
                <w:sz w:val="18"/>
              </w:rPr>
              <w:t>Analyse interne de dossiers individuels CECAM</w:t>
            </w:r>
          </w:p>
        </w:tc>
      </w:tr>
    </w:tbl>
    <w:p>
      <w:pPr>
        <w:spacing w:after="20"/>
      </w:pPr>
    </w:p>
    <w:tbl>
      <w:tblPr>
        <w:tblW w:type="auto" w:w="0"/>
        <w:jc w:val="center"/>
        <w:tblLook w:firstColumn="1" w:firstRow="1" w:lastColumn="0" w:lastRow="0" w:noHBand="0" w:noVBand="1" w:val="04A0"/>
        <w:tblBorders>
          <w:top w:val="single" w:sz="8" w:space="0" w:color="AFC1CE"/>
          <w:left w:val="single" w:sz="8" w:space="0" w:color="AFC1CE"/>
          <w:bottom w:val="single" w:sz="8" w:space="0" w:color="AFC1CE"/>
          <w:right w:val="single" w:sz="8" w:space="0" w:color="AFC1CE"/>
          <w:insideH w:val="single" w:sz="8" w:space="0" w:color="AFC1CE"/>
          <w:insideV w:val="single" w:sz="8" w:space="0" w:color="AFC1CE"/>
        </w:tblBorders>
      </w:tblPr>
      <w:tblGrid>
        <w:gridCol w:w="9638"/>
      </w:tblGrid>
      <w:tr>
        <w:tc>
          <w:tcPr>
            <w:tcW w:type="dxa" w:w="9638"/>
            <w:shd w:fill="DDE8EF"/>
            <w:tcMar>
              <w:top w:w="140" w:type="dxa"/>
              <w:start w:w="160" w:type="dxa"/>
              <w:bottom w:w="140" w:type="dxa"/>
              <w:end w:w="160" w:type="dxa"/>
            </w:tcMar>
          </w:tcPr>
          <w:p>
            <w:pPr>
              <w:spacing w:after="60"/>
            </w:pPr>
            <w:r/>
            <w:r>
              <w:rPr>
                <w:rFonts w:ascii="Arial" w:hAnsi="Arial"/>
                <w:b/>
                <w:sz w:val="20"/>
              </w:rPr>
              <w:t>Positionnement à retenir</w:t>
            </w:r>
          </w:p>
          <w:p>
            <w:pPr>
              <w:spacing w:after="0" w:line="247" w:lineRule="auto"/>
            </w:pPr>
            <w:r>
              <w:rPr>
                <w:rFonts w:ascii="Arial" w:hAnsi="Arial"/>
                <w:sz w:val="18"/>
              </w:rPr>
              <w:t>Le projet est un prototype local d’aide à l’analyse, inspiré de la structure des rapports de solvabilité fournis. Il n’est pas connecté à la base de prêts CECAM. Les rapports CRIF ne permettent pas de reconstituer le portefeuille CECAM. Le score actuel est expérimental, non validé sur des résultats de remboursement CECAM et ne doit pas déclencher automatiquement une décision de crédit.</w:t>
            </w:r>
          </w:p>
        </w:tc>
      </w:tr>
    </w:tbl>
    <w:p>
      <w:pPr>
        <w:spacing w:after="20"/>
      </w:pPr>
    </w:p>
    <w:p>
      <w:pPr>
        <w:widowControl/>
      </w:pPr>
      <w:r>
        <w:t>Cette version distingue le périmètre proposé, les règles à confirmer, les fonctions repérées dans le code et les travaux nécessaires avant une éventuelle utilisation interne.</w:t>
      </w:r>
    </w:p>
    <w:p>
      <w:r>
        <w:br w:type="page"/>
      </w:r>
    </w:p>
    <w:p>
      <w:pPr>
        <w:pStyle w:val="Heading1"/>
      </w:pPr>
      <w:r>
        <w:t>1. Résumé exécutif</w:t>
      </w:r>
    </w:p>
    <w:p>
      <w:pPr>
        <w:widowControl/>
      </w:pPr>
      <w:r>
        <w:t>Le BIC CECAM est conçu comme un outil interne de consultation et de synthèse pour les dossiers individuels. Un agent peut enregistrer ou rechercher un client, saisir une demande et consulter un rapport de solvabilité. Un administrateur peut saisir l’historique de crédit disponible. Le système rassemble ces éléments dans une fiche et un PDF qui aident à l’examen humain du dossier.</w:t>
      </w:r>
    </w:p>
    <w:p>
      <w:pPr>
        <w:widowControl/>
      </w:pPr>
      <w:r>
        <w:t>Le projet est actuellement testé sur un poste local. L’étudiant ne dispose pas de la base de prêts CECAM ni d’un échantillon de remboursements CECAM validé. Les données utilisées pour les démonstrations doivent donc être fictives ou autorisées et anonymisées. L’application ne peut pas produire une vue réelle du portefeuille CECAM ni démontrer, à ce stade, qu’un score prédit correctement les impayés.</w:t>
      </w:r>
    </w:p>
    <w:tbl>
      <w:tblPr>
        <w:tblW w:type="auto" w:w="0"/>
        <w:jc w:val="center"/>
        <w:tblLook w:firstColumn="1" w:firstRow="1" w:lastColumn="0" w:lastRow="0" w:noHBand="0" w:noVBand="1" w:val="04A0"/>
        <w:tblBorders>
          <w:top w:val="single" w:sz="8" w:space="0" w:color="AFC1CE"/>
          <w:left w:val="single" w:sz="8" w:space="0" w:color="AFC1CE"/>
          <w:bottom w:val="single" w:sz="8" w:space="0" w:color="AFC1CE"/>
          <w:right w:val="single" w:sz="8" w:space="0" w:color="AFC1CE"/>
          <w:insideH w:val="single" w:sz="8" w:space="0" w:color="AFC1CE"/>
          <w:insideV w:val="single" w:sz="8" w:space="0" w:color="AFC1CE"/>
        </w:tblBorders>
      </w:tblPr>
      <w:tblGrid>
        <w:gridCol w:w="9638"/>
      </w:tblGrid>
      <w:tr>
        <w:tc>
          <w:tcPr>
            <w:tcW w:type="dxa" w:w="9638"/>
            <w:shd w:fill="DDE8EF"/>
            <w:tcMar>
              <w:top w:w="140" w:type="dxa"/>
              <w:start w:w="160" w:type="dxa"/>
              <w:bottom w:w="140" w:type="dxa"/>
              <w:end w:w="160" w:type="dxa"/>
            </w:tcMar>
          </w:tcPr>
          <w:p>
            <w:pPr>
              <w:spacing w:after="60"/>
            </w:pPr>
            <w:r/>
            <w:r>
              <w:rPr>
                <w:rFonts w:ascii="Arial" w:hAnsi="Arial"/>
                <w:b/>
                <w:sz w:val="20"/>
              </w:rPr>
              <w:t>Décision proposée pour l’encadreur</w:t>
            </w:r>
          </w:p>
          <w:p>
            <w:pPr>
              <w:spacing w:after="0" w:line="247" w:lineRule="auto"/>
            </w:pPr>
            <w:r>
              <w:rPr>
                <w:rFonts w:ascii="Arial" w:hAnsi="Arial"/>
                <w:sz w:val="18"/>
              </w:rPr>
              <w:t>Valider le périmètre de démonstration avant d’élargir le projet : un prototype individuel, documenté et reproductible, avec un score présenté comme indicateur expérimental et toujours soumis à l’analyse de l’agent de crédit.</w:t>
            </w:r>
          </w:p>
        </w:tc>
      </w:tr>
    </w:tbl>
    <w:p>
      <w:pPr>
        <w:spacing w:after="20"/>
      </w:pPr>
    </w:p>
    <w:p>
      <w:pPr>
        <w:pStyle w:val="Heading2"/>
      </w:pPr>
      <w:r>
        <w:t>Objectifs</w:t>
      </w:r>
    </w:p>
    <w:p>
      <w:pPr>
        <w:pStyle w:val="ListBullet"/>
        <w:widowControl/>
      </w:pPr>
      <w:r>
        <w:t>Centraliser les informations d’identité, de demande et d’historique disponibles pour un dossier individuel.</w:t>
      </w:r>
    </w:p>
    <w:p>
      <w:pPr>
        <w:pStyle w:val="ListBullet"/>
        <w:widowControl/>
      </w:pPr>
      <w:r>
        <w:t>Séparer les échéances exactes des observations mensuelles transcrites depuis un rapport.</w:t>
      </w:r>
    </w:p>
    <w:p>
      <w:pPr>
        <w:pStyle w:val="ListBullet"/>
        <w:widowControl/>
      </w:pPr>
      <w:r>
        <w:t>Produire une synthèse lisible des contrats, paiements, retards, engagements et alertes.</w:t>
      </w:r>
    </w:p>
    <w:p>
      <w:pPr>
        <w:pStyle w:val="ListBullet"/>
        <w:widowControl/>
      </w:pPr>
      <w:r>
        <w:t>Montrer les limites et les données manquantes au lieu d’inventer des montants ou des dates.</w:t>
      </w:r>
    </w:p>
    <w:p>
      <w:pPr>
        <w:pStyle w:val="ListBullet"/>
        <w:widowControl/>
      </w:pPr>
      <w:r>
        <w:t>Fournir un prototype démontrable à l’encadreur et aux agents de crédit de CECAM.</w:t>
      </w:r>
    </w:p>
    <w:p>
      <w:pPr>
        <w:pStyle w:val="Heading2"/>
      </w:pPr>
      <w:r>
        <w:t>Résultat attendu du stage</w:t>
      </w:r>
    </w:p>
    <w:p>
      <w:pPr>
        <w:widowControl/>
      </w:pPr>
      <w:r>
        <w:t>Un parcours de démonstration cohérent, un rapport PDF traçable, une saisie d’historique administrateur protégée, des données de démonstration sans identifiants réels et une liste explicite des décisions qui resteraient à prendre avant un pilote métier.</w:t>
      </w:r>
    </w:p>
    <w:p>
      <w:pPr>
        <w:pStyle w:val="Heading1"/>
      </w:pPr>
      <w:r>
        <w:t>2. Contexte et périmètre</w:t>
      </w:r>
    </w:p>
    <w:p>
      <w:pPr>
        <w:widowControl/>
      </w:pPr>
      <w:r>
        <w:t>Le projet s’inspire des rubriques visibles dans les rapports de solvabilité CRIF remis à l’étudiant. Cette référence porte sur la structure des informations et la présentation. Elle ne signifie ni accès aux calculs internes de CRIF, ni reproduction de son algorithme propriétaire, ni connexion au système CECAM.</w:t>
      </w:r>
    </w:p>
    <w:tbl>
      <w:tblPr>
        <w:tblW w:type="auto" w:w="0"/>
        <w:jc w:val="center"/>
        <w:tblLayout w:type="fixed"/>
        <w:tblLook w:firstColumn="1" w:firstRow="1" w:lastColumn="0" w:lastRow="0" w:noHBand="0" w:noVBand="1" w:val="04A0"/>
        <w:tblBorders>
          <w:top w:val="single" w:sz="5" w:space="0" w:color="CDD5DB"/>
          <w:left w:val="single" w:sz="5" w:space="0" w:color="CDD5DB"/>
          <w:bottom w:val="single" w:sz="5" w:space="0" w:color="CDD5DB"/>
          <w:right w:val="single" w:sz="5" w:space="0" w:color="CDD5DB"/>
          <w:insideH w:val="single" w:sz="5" w:space="0" w:color="CDD5DB"/>
          <w:insideV w:val="single" w:sz="5" w:space="0" w:color="CDD5DB"/>
        </w:tblBorders>
      </w:tblPr>
      <w:tblGrid>
        <w:gridCol w:w="4819"/>
        <w:gridCol w:w="4819"/>
      </w:tblGrid>
      <w:tr>
        <w:trPr>
          <w:tblHeader w:val="true"/>
          <w:cantSplit/>
        </w:trPr>
        <w:tc>
          <w:tcPr>
            <w:tcW w:type="dxa" w:w="4752"/>
            <w:vAlign w:val="center"/>
            <w:tcMar>
              <w:top w:w="90" w:type="dxa"/>
              <w:start w:w="100" w:type="dxa"/>
              <w:bottom w:w="90" w:type="dxa"/>
              <w:end w:w="100" w:type="dxa"/>
            </w:tcMar>
            <w:shd w:fill="243746"/>
          </w:tcPr>
          <w:p>
            <w:pPr>
              <w:spacing w:after="0" w:line="240" w:lineRule="auto"/>
            </w:pPr>
            <w:r/>
            <w:r>
              <w:rPr>
                <w:rFonts w:ascii="Arial" w:hAnsi="Arial"/>
                <w:b/>
                <w:color w:val="FFFFFF"/>
                <w:sz w:val="17"/>
              </w:rPr>
              <w:t>Dans le périmètre du prototype</w:t>
            </w:r>
          </w:p>
        </w:tc>
        <w:tc>
          <w:tcPr>
            <w:tcW w:type="dxa" w:w="4752"/>
            <w:vAlign w:val="center"/>
            <w:tcMar>
              <w:top w:w="90" w:type="dxa"/>
              <w:start w:w="100" w:type="dxa"/>
              <w:bottom w:w="90" w:type="dxa"/>
              <w:end w:w="100" w:type="dxa"/>
            </w:tcMar>
            <w:shd w:fill="243746"/>
          </w:tcPr>
          <w:p>
            <w:pPr>
              <w:spacing w:after="0" w:line="240" w:lineRule="auto"/>
            </w:pPr>
            <w:r/>
            <w:r>
              <w:rPr>
                <w:rFonts w:ascii="Arial" w:hAnsi="Arial"/>
                <w:b/>
                <w:color w:val="FFFFFF"/>
                <w:sz w:val="17"/>
              </w:rPr>
              <w:t>Hors périmètre proposé</w:t>
            </w:r>
          </w:p>
        </w:tc>
      </w:tr>
      <w:tr>
        <w:trPr>
          <w:cantSplit/>
        </w:trPr>
        <w:tc>
          <w:tcPr>
            <w:tcW w:type="dxa" w:w="4752"/>
            <w:vAlign w:val="center"/>
            <w:tcMar>
              <w:top w:w="90" w:type="dxa"/>
              <w:start w:w="100" w:type="dxa"/>
              <w:bottom w:w="90" w:type="dxa"/>
              <w:end w:w="100" w:type="dxa"/>
            </w:tcMar>
            <w:shd w:fill="F3F6F8"/>
          </w:tcPr>
          <w:p>
            <w:pPr>
              <w:spacing w:after="0" w:line="240" w:lineRule="auto"/>
            </w:pPr>
            <w:r/>
            <w:r>
              <w:rPr>
                <w:rFonts w:ascii="Arial" w:hAnsi="Arial"/>
                <w:b/>
                <w:color w:val="000000"/>
                <w:sz w:val="17"/>
              </w:rPr>
              <w:t>Fiche d’un client individuel et recherche par identifiants autorisés.</w:t>
            </w:r>
          </w:p>
        </w:tc>
        <w:tc>
          <w:tcPr>
            <w:tcW w:type="dxa" w:w="4752"/>
            <w:vAlign w:val="center"/>
            <w:tcMar>
              <w:top w:w="90" w:type="dxa"/>
              <w:start w:w="100" w:type="dxa"/>
              <w:bottom w:w="90" w:type="dxa"/>
              <w:end w:w="100" w:type="dxa"/>
            </w:tcMar>
          </w:tcPr>
          <w:p>
            <w:pPr>
              <w:spacing w:after="0" w:line="240" w:lineRule="auto"/>
            </w:pPr>
            <w:r/>
            <w:r>
              <w:rPr>
                <w:rFonts w:ascii="Arial" w:hAnsi="Arial"/>
                <w:b w:val="0"/>
                <w:color w:val="000000"/>
                <w:sz w:val="17"/>
              </w:rPr>
              <w:t>BIC Entreprise et gestion complète de personnes morales.</w:t>
            </w:r>
          </w:p>
        </w:tc>
      </w:tr>
      <w:tr>
        <w:trPr>
          <w:cantSplit/>
        </w:trPr>
        <w:tc>
          <w:tcPr>
            <w:tcW w:type="dxa" w:w="4752"/>
            <w:vAlign w:val="center"/>
            <w:tcMar>
              <w:top w:w="90" w:type="dxa"/>
              <w:start w:w="100" w:type="dxa"/>
              <w:bottom w:w="90" w:type="dxa"/>
              <w:end w:w="100" w:type="dxa"/>
            </w:tcMar>
            <w:shd w:fill="F3F6F8"/>
          </w:tcPr>
          <w:p>
            <w:pPr>
              <w:spacing w:after="0" w:line="240" w:lineRule="auto"/>
            </w:pPr>
            <w:r/>
            <w:r>
              <w:rPr>
                <w:rFonts w:ascii="Arial" w:hAnsi="Arial"/>
                <w:b/>
                <w:color w:val="000000"/>
                <w:sz w:val="17"/>
              </w:rPr>
              <w:t>Saisie d’une demande de crédit et production d’une synthèse.</w:t>
            </w:r>
          </w:p>
        </w:tc>
        <w:tc>
          <w:tcPr>
            <w:tcW w:type="dxa" w:w="4752"/>
            <w:vAlign w:val="center"/>
            <w:tcMar>
              <w:top w:w="90" w:type="dxa"/>
              <w:start w:w="100" w:type="dxa"/>
              <w:bottom w:w="90" w:type="dxa"/>
              <w:end w:w="100" w:type="dxa"/>
            </w:tcMar>
          </w:tcPr>
          <w:p>
            <w:pPr>
              <w:spacing w:after="0" w:line="240" w:lineRule="auto"/>
            </w:pPr>
            <w:r/>
            <w:r>
              <w:rPr>
                <w:rFonts w:ascii="Arial" w:hAnsi="Arial"/>
                <w:b w:val="0"/>
                <w:color w:val="000000"/>
                <w:sz w:val="17"/>
              </w:rPr>
              <w:t>Connexion à une base réelle CECAM ou extraction d’un portefeuille.</w:t>
            </w:r>
          </w:p>
        </w:tc>
      </w:tr>
      <w:tr>
        <w:trPr>
          <w:cantSplit/>
        </w:trPr>
        <w:tc>
          <w:tcPr>
            <w:tcW w:type="dxa" w:w="4752"/>
            <w:vAlign w:val="center"/>
            <w:tcMar>
              <w:top w:w="90" w:type="dxa"/>
              <w:start w:w="100" w:type="dxa"/>
              <w:bottom w:w="90" w:type="dxa"/>
              <w:end w:w="100" w:type="dxa"/>
            </w:tcMar>
            <w:shd w:fill="F3F6F8"/>
          </w:tcPr>
          <w:p>
            <w:pPr>
              <w:spacing w:after="0" w:line="240" w:lineRule="auto"/>
            </w:pPr>
            <w:r/>
            <w:r>
              <w:rPr>
                <w:rFonts w:ascii="Arial" w:hAnsi="Arial"/>
                <w:b/>
                <w:color w:val="000000"/>
                <w:sz w:val="17"/>
              </w:rPr>
              <w:t>Saisie manuelle d’historiques disponibles par un administrateur.</w:t>
            </w:r>
          </w:p>
        </w:tc>
        <w:tc>
          <w:tcPr>
            <w:tcW w:type="dxa" w:w="4752"/>
            <w:vAlign w:val="center"/>
            <w:tcMar>
              <w:top w:w="90" w:type="dxa"/>
              <w:start w:w="100" w:type="dxa"/>
              <w:bottom w:w="90" w:type="dxa"/>
              <w:end w:w="100" w:type="dxa"/>
            </w:tcMar>
          </w:tcPr>
          <w:p>
            <w:pPr>
              <w:spacing w:after="0" w:line="240" w:lineRule="auto"/>
            </w:pPr>
            <w:r/>
            <w:r>
              <w:rPr>
                <w:rFonts w:ascii="Arial" w:hAnsi="Arial"/>
                <w:b w:val="0"/>
                <w:color w:val="000000"/>
                <w:sz w:val="17"/>
              </w:rPr>
              <w:t>Décision automatique d’acceptation, de refus ou de montant.</w:t>
            </w:r>
          </w:p>
        </w:tc>
      </w:tr>
      <w:tr>
        <w:trPr>
          <w:cantSplit/>
        </w:trPr>
        <w:tc>
          <w:tcPr>
            <w:tcW w:type="dxa" w:w="4752"/>
            <w:vAlign w:val="center"/>
            <w:tcMar>
              <w:top w:w="90" w:type="dxa"/>
              <w:start w:w="100" w:type="dxa"/>
              <w:bottom w:w="90" w:type="dxa"/>
              <w:end w:w="100" w:type="dxa"/>
            </w:tcMar>
            <w:shd w:fill="F3F6F8"/>
          </w:tcPr>
          <w:p>
            <w:pPr>
              <w:spacing w:after="0" w:line="240" w:lineRule="auto"/>
            </w:pPr>
            <w:r/>
            <w:r>
              <w:rPr>
                <w:rFonts w:ascii="Arial" w:hAnsi="Arial"/>
                <w:b/>
                <w:color w:val="000000"/>
                <w:sz w:val="17"/>
              </w:rPr>
              <w:t>Échéances datées et observations mensuelles conservées séparément.</w:t>
            </w:r>
          </w:p>
        </w:tc>
        <w:tc>
          <w:tcPr>
            <w:tcW w:type="dxa" w:w="4752"/>
            <w:vAlign w:val="center"/>
            <w:tcMar>
              <w:top w:w="90" w:type="dxa"/>
              <w:start w:w="100" w:type="dxa"/>
              <w:bottom w:w="90" w:type="dxa"/>
              <w:end w:w="100" w:type="dxa"/>
            </w:tcMar>
          </w:tcPr>
          <w:p>
            <w:pPr>
              <w:spacing w:after="0" w:line="240" w:lineRule="auto"/>
            </w:pPr>
            <w:r/>
            <w:r>
              <w:rPr>
                <w:rFonts w:ascii="Arial" w:hAnsi="Arial"/>
                <w:b w:val="0"/>
                <w:color w:val="000000"/>
                <w:sz w:val="17"/>
              </w:rPr>
              <w:t>Reconstitution de dates ou montants absents des sources.</w:t>
            </w:r>
          </w:p>
        </w:tc>
      </w:tr>
      <w:tr>
        <w:trPr>
          <w:cantSplit/>
        </w:trPr>
        <w:tc>
          <w:tcPr>
            <w:tcW w:type="dxa" w:w="4752"/>
            <w:vAlign w:val="center"/>
            <w:tcMar>
              <w:top w:w="90" w:type="dxa"/>
              <w:start w:w="100" w:type="dxa"/>
              <w:bottom w:w="90" w:type="dxa"/>
              <w:end w:w="100" w:type="dxa"/>
            </w:tcMar>
            <w:shd w:fill="F3F6F8"/>
          </w:tcPr>
          <w:p>
            <w:pPr>
              <w:spacing w:after="0" w:line="240" w:lineRule="auto"/>
            </w:pPr>
            <w:r/>
            <w:r>
              <w:rPr>
                <w:rFonts w:ascii="Arial" w:hAnsi="Arial"/>
                <w:b/>
                <w:color w:val="000000"/>
                <w:sz w:val="17"/>
              </w:rPr>
              <w:t>Rapport PDF et indicateur de score expérimental pour l’analyse humaine.</w:t>
            </w:r>
          </w:p>
        </w:tc>
        <w:tc>
          <w:tcPr>
            <w:tcW w:type="dxa" w:w="4752"/>
            <w:vAlign w:val="center"/>
            <w:tcMar>
              <w:top w:w="90" w:type="dxa"/>
              <w:start w:w="100" w:type="dxa"/>
              <w:bottom w:w="90" w:type="dxa"/>
              <w:end w:w="100" w:type="dxa"/>
            </w:tcMar>
          </w:tcPr>
          <w:p>
            <w:pPr>
              <w:spacing w:after="0" w:line="240" w:lineRule="auto"/>
            </w:pPr>
            <w:r/>
            <w:r>
              <w:rPr>
                <w:rFonts w:ascii="Arial" w:hAnsi="Arial"/>
                <w:b w:val="0"/>
                <w:color w:val="000000"/>
                <w:sz w:val="17"/>
              </w:rPr>
              <w:t>Modèle prédictif ou apprentissage automatique sans données labellisées.</w:t>
            </w:r>
          </w:p>
        </w:tc>
      </w:tr>
      <w:tr>
        <w:trPr>
          <w:cantSplit/>
        </w:trPr>
        <w:tc>
          <w:tcPr>
            <w:tcW w:type="dxa" w:w="4752"/>
            <w:vAlign w:val="center"/>
            <w:tcMar>
              <w:top w:w="90" w:type="dxa"/>
              <w:start w:w="100" w:type="dxa"/>
              <w:bottom w:w="90" w:type="dxa"/>
              <w:end w:w="100" w:type="dxa"/>
            </w:tcMar>
            <w:shd w:fill="F3F6F8"/>
          </w:tcPr>
          <w:p>
            <w:pPr>
              <w:spacing w:after="0" w:line="240" w:lineRule="auto"/>
            </w:pPr>
            <w:r/>
            <w:r>
              <w:rPr>
                <w:rFonts w:ascii="Arial" w:hAnsi="Arial"/>
                <w:b/>
                <w:color w:val="000000"/>
                <w:sz w:val="17"/>
              </w:rPr>
              <w:t>Alertes locales et journalisation des consultations et modifications.</w:t>
            </w:r>
          </w:p>
        </w:tc>
        <w:tc>
          <w:tcPr>
            <w:tcW w:type="dxa" w:w="4752"/>
            <w:vAlign w:val="center"/>
            <w:tcMar>
              <w:top w:w="90" w:type="dxa"/>
              <w:start w:w="100" w:type="dxa"/>
              <w:bottom w:w="90" w:type="dxa"/>
              <w:end w:w="100" w:type="dxa"/>
            </w:tcMar>
          </w:tcPr>
          <w:p>
            <w:pPr>
              <w:spacing w:after="0" w:line="240" w:lineRule="auto"/>
            </w:pPr>
            <w:r/>
            <w:r>
              <w:rPr>
                <w:rFonts w:ascii="Arial" w:hAnsi="Arial"/>
                <w:b w:val="0"/>
                <w:color w:val="000000"/>
                <w:sz w:val="17"/>
              </w:rPr>
              <w:t>Envoi externe de rapports ou notification par courriel.</w:t>
            </w:r>
          </w:p>
        </w:tc>
      </w:tr>
    </w:tbl>
    <w:p>
      <w:pPr>
        <w:spacing w:after="20"/>
      </w:pPr>
    </w:p>
    <w:p>
      <w:pPr>
        <w:widowControl/>
      </w:pPr>
      <w:r>
        <w:t>L’import CSV de clients est hors périmètre tant qu’aucun fichier source autorisé, stable et documenté n’est disponible. Une page d’import reste toutefois présente dans le routage du frontend; elle doit être retirée ou justifiée avant la démonstration finale.</w:t>
      </w:r>
    </w:p>
    <w:p>
      <w:pPr>
        <w:pStyle w:val="Heading2"/>
      </w:pPr>
      <w:r>
        <w:t>Hypothèses de travail</w:t>
      </w:r>
    </w:p>
    <w:p>
      <w:pPr>
        <w:pStyle w:val="ListBullet"/>
        <w:widowControl/>
      </w:pPr>
      <w:r>
        <w:t>Le prototype sert à l’analyse interne et à la présentation de stage, pas à une mise en production.</w:t>
      </w:r>
    </w:p>
    <w:p>
      <w:pPr>
        <w:pStyle w:val="ListBullet"/>
        <w:widowControl/>
      </w:pPr>
      <w:r>
        <w:t>Les données de test sont fictives ou anonymisées; aucun nom, numéro CIN, code client ou montant réel issu des rapports n’est repris dans ce cahier.</w:t>
      </w:r>
    </w:p>
    <w:p>
      <w:pPr>
        <w:pStyle w:val="ListBullet"/>
        <w:widowControl/>
      </w:pPr>
      <w:r>
        <w:t>Les statuts, seuils, catégories et champs métier doivent être validés par un référent CECAM avant d’être présentés comme des règles officielles.</w:t>
      </w:r>
    </w:p>
    <w:p>
      <w:pPr>
        <w:pStyle w:val="ListBullet"/>
        <w:widowControl/>
      </w:pPr>
      <w:r>
        <w:t>Le rapport signale toute information absente ou non exploitable.</w:t>
      </w:r>
    </w:p>
    <w:p>
      <w:pPr>
        <w:pStyle w:val="Heading1"/>
      </w:pPr>
      <w:r>
        <w:t>3. Utilisateurs et parcours</w:t>
      </w:r>
    </w:p>
    <w:tbl>
      <w:tblPr>
        <w:tblW w:type="auto" w:w="0"/>
        <w:jc w:val="center"/>
        <w:tblLayout w:type="fixed"/>
        <w:tblLook w:firstColumn="1" w:firstRow="1" w:lastColumn="0" w:lastRow="0" w:noHBand="0" w:noVBand="1" w:val="04A0"/>
        <w:tblBorders>
          <w:top w:val="single" w:sz="5" w:space="0" w:color="CDD5DB"/>
          <w:left w:val="single" w:sz="5" w:space="0" w:color="CDD5DB"/>
          <w:bottom w:val="single" w:sz="5" w:space="0" w:color="CDD5DB"/>
          <w:right w:val="single" w:sz="5" w:space="0" w:color="CDD5DB"/>
          <w:insideH w:val="single" w:sz="5" w:space="0" w:color="CDD5DB"/>
          <w:insideV w:val="single" w:sz="5" w:space="0" w:color="CDD5DB"/>
        </w:tblBorders>
      </w:tblPr>
      <w:tblGrid>
        <w:gridCol w:w="3213"/>
        <w:gridCol w:w="3213"/>
        <w:gridCol w:w="3213"/>
      </w:tblGrid>
      <w:tr>
        <w:trPr>
          <w:tblHeader w:val="true"/>
          <w:cantSplit/>
        </w:trPr>
        <w:tc>
          <w:tcPr>
            <w:tcW w:type="dxa" w:w="1728"/>
            <w:vAlign w:val="center"/>
            <w:tcMar>
              <w:top w:w="90" w:type="dxa"/>
              <w:start w:w="100" w:type="dxa"/>
              <w:bottom w:w="90" w:type="dxa"/>
              <w:end w:w="100" w:type="dxa"/>
            </w:tcMar>
            <w:shd w:fill="243746"/>
          </w:tcPr>
          <w:p>
            <w:pPr>
              <w:spacing w:after="0" w:line="240" w:lineRule="auto"/>
            </w:pPr>
            <w:r/>
            <w:r>
              <w:rPr>
                <w:rFonts w:ascii="Arial" w:hAnsi="Arial"/>
                <w:b/>
                <w:color w:val="FFFFFF"/>
                <w:sz w:val="17"/>
              </w:rPr>
              <w:t>Rôle proposé</w:t>
            </w:r>
          </w:p>
        </w:tc>
        <w:tc>
          <w:tcPr>
            <w:tcW w:type="dxa" w:w="4320"/>
            <w:vAlign w:val="center"/>
            <w:tcMar>
              <w:top w:w="90" w:type="dxa"/>
              <w:start w:w="100" w:type="dxa"/>
              <w:bottom w:w="90" w:type="dxa"/>
              <w:end w:w="100" w:type="dxa"/>
            </w:tcMar>
            <w:shd w:fill="243746"/>
          </w:tcPr>
          <w:p>
            <w:pPr>
              <w:spacing w:after="0" w:line="240" w:lineRule="auto"/>
            </w:pPr>
            <w:r/>
            <w:r>
              <w:rPr>
                <w:rFonts w:ascii="Arial" w:hAnsi="Arial"/>
                <w:b/>
                <w:color w:val="FFFFFF"/>
                <w:sz w:val="17"/>
              </w:rPr>
              <w:t>Actions principales</w:t>
            </w:r>
          </w:p>
        </w:tc>
        <w:tc>
          <w:tcPr>
            <w:tcW w:type="dxa" w:w="3456"/>
            <w:vAlign w:val="center"/>
            <w:tcMar>
              <w:top w:w="90" w:type="dxa"/>
              <w:start w:w="100" w:type="dxa"/>
              <w:bottom w:w="90" w:type="dxa"/>
              <w:end w:w="100" w:type="dxa"/>
            </w:tcMar>
            <w:shd w:fill="243746"/>
          </w:tcPr>
          <w:p>
            <w:pPr>
              <w:spacing w:after="0" w:line="240" w:lineRule="auto"/>
            </w:pPr>
            <w:r/>
            <w:r>
              <w:rPr>
                <w:rFonts w:ascii="Arial" w:hAnsi="Arial"/>
                <w:b/>
                <w:color w:val="FFFFFF"/>
                <w:sz w:val="17"/>
              </w:rPr>
              <w:t>Contrôle attendu</w:t>
            </w:r>
          </w:p>
        </w:tc>
      </w:tr>
      <w:tr>
        <w:trPr>
          <w:cantSplit/>
        </w:trPr>
        <w:tc>
          <w:tcPr>
            <w:tcW w:type="dxa" w:w="1728"/>
            <w:vAlign w:val="center"/>
            <w:tcMar>
              <w:top w:w="90" w:type="dxa"/>
              <w:start w:w="100" w:type="dxa"/>
              <w:bottom w:w="90" w:type="dxa"/>
              <w:end w:w="100" w:type="dxa"/>
            </w:tcMar>
            <w:shd w:fill="F3F6F8"/>
          </w:tcPr>
          <w:p>
            <w:pPr>
              <w:spacing w:after="0" w:line="240" w:lineRule="auto"/>
            </w:pPr>
            <w:r/>
            <w:r>
              <w:rPr>
                <w:rFonts w:ascii="Arial" w:hAnsi="Arial"/>
                <w:b/>
                <w:color w:val="000000"/>
                <w:sz w:val="17"/>
              </w:rPr>
              <w:t>Agent de crédit</w:t>
            </w:r>
          </w:p>
        </w:tc>
        <w:tc>
          <w:tcPr>
            <w:tcW w:type="dxa" w:w="4320"/>
            <w:vAlign w:val="center"/>
            <w:tcMar>
              <w:top w:w="90" w:type="dxa"/>
              <w:start w:w="100" w:type="dxa"/>
              <w:bottom w:w="90" w:type="dxa"/>
              <w:end w:w="100" w:type="dxa"/>
            </w:tcMar>
          </w:tcPr>
          <w:p>
            <w:pPr>
              <w:spacing w:after="0" w:line="240" w:lineRule="auto"/>
            </w:pPr>
            <w:r/>
            <w:r>
              <w:rPr>
                <w:rFonts w:ascii="Arial" w:hAnsi="Arial"/>
                <w:b w:val="0"/>
                <w:color w:val="000000"/>
                <w:sz w:val="17"/>
              </w:rPr>
              <w:t>Se connecter, rechercher un client, saisir une demande, consulter le rapport et les alertes.</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7"/>
              </w:rPr>
              <w:t>Accès limité aux fonctions nécessaires à l’analyse.</w:t>
            </w:r>
          </w:p>
        </w:tc>
      </w:tr>
      <w:tr>
        <w:trPr>
          <w:cantSplit/>
        </w:trPr>
        <w:tc>
          <w:tcPr>
            <w:tcW w:type="dxa" w:w="1728"/>
            <w:vAlign w:val="center"/>
            <w:tcMar>
              <w:top w:w="90" w:type="dxa"/>
              <w:start w:w="100" w:type="dxa"/>
              <w:bottom w:w="90" w:type="dxa"/>
              <w:end w:w="100" w:type="dxa"/>
            </w:tcMar>
            <w:shd w:fill="F3F6F8"/>
          </w:tcPr>
          <w:p>
            <w:pPr>
              <w:spacing w:after="0" w:line="240" w:lineRule="auto"/>
            </w:pPr>
            <w:r/>
            <w:r>
              <w:rPr>
                <w:rFonts w:ascii="Arial" w:hAnsi="Arial"/>
                <w:b/>
                <w:color w:val="000000"/>
                <w:sz w:val="17"/>
              </w:rPr>
              <w:t>Administrateur</w:t>
            </w:r>
          </w:p>
        </w:tc>
        <w:tc>
          <w:tcPr>
            <w:tcW w:type="dxa" w:w="4320"/>
            <w:vAlign w:val="center"/>
            <w:tcMar>
              <w:top w:w="90" w:type="dxa"/>
              <w:start w:w="100" w:type="dxa"/>
              <w:bottom w:w="90" w:type="dxa"/>
              <w:end w:w="100" w:type="dxa"/>
            </w:tcMar>
          </w:tcPr>
          <w:p>
            <w:pPr>
              <w:spacing w:after="0" w:line="240" w:lineRule="auto"/>
            </w:pPr>
            <w:r/>
            <w:r>
              <w:rPr>
                <w:rFonts w:ascii="Arial" w:hAnsi="Arial"/>
                <w:b w:val="0"/>
                <w:color w:val="000000"/>
                <w:sz w:val="17"/>
              </w:rPr>
              <w:t>Saisir ou corriger l’historique et consulter le journal d’audit.</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7"/>
              </w:rPr>
              <w:t>La saisie/modification d’historique est contrôlée par l’interface et par l’API.</w:t>
            </w:r>
          </w:p>
        </w:tc>
      </w:tr>
      <w:tr>
        <w:trPr>
          <w:cantSplit/>
        </w:trPr>
        <w:tc>
          <w:tcPr>
            <w:tcW w:type="dxa" w:w="1728"/>
            <w:vAlign w:val="center"/>
            <w:tcMar>
              <w:top w:w="90" w:type="dxa"/>
              <w:start w:w="100" w:type="dxa"/>
              <w:bottom w:w="90" w:type="dxa"/>
              <w:end w:w="100" w:type="dxa"/>
            </w:tcMar>
            <w:shd w:fill="F3F6F8"/>
          </w:tcPr>
          <w:p>
            <w:pPr>
              <w:spacing w:after="0" w:line="240" w:lineRule="auto"/>
            </w:pPr>
            <w:r/>
            <w:r>
              <w:rPr>
                <w:rFonts w:ascii="Arial" w:hAnsi="Arial"/>
                <w:b/>
                <w:color w:val="000000"/>
                <w:sz w:val="17"/>
              </w:rPr>
              <w:t>Encadreur / référent métier</w:t>
            </w:r>
          </w:p>
        </w:tc>
        <w:tc>
          <w:tcPr>
            <w:tcW w:type="dxa" w:w="4320"/>
            <w:vAlign w:val="center"/>
            <w:tcMar>
              <w:top w:w="90" w:type="dxa"/>
              <w:start w:w="100" w:type="dxa"/>
              <w:bottom w:w="90" w:type="dxa"/>
              <w:end w:w="100" w:type="dxa"/>
            </w:tcMar>
          </w:tcPr>
          <w:p>
            <w:pPr>
              <w:spacing w:after="0" w:line="240" w:lineRule="auto"/>
            </w:pPr>
            <w:r/>
            <w:r>
              <w:rPr>
                <w:rFonts w:ascii="Arial" w:hAnsi="Arial"/>
                <w:b w:val="0"/>
                <w:color w:val="000000"/>
                <w:sz w:val="17"/>
              </w:rPr>
              <w:t>Valider le périmètre, les règles et les scénarios de démonstration.</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7"/>
              </w:rPr>
              <w:t>Rôle de validation à préciser; aucun compte de production supposé.</w:t>
            </w:r>
          </w:p>
        </w:tc>
      </w:tr>
    </w:tbl>
    <w:p>
      <w:pPr>
        <w:spacing w:after="20"/>
      </w:pPr>
    </w:p>
    <w:p>
      <w:pPr>
        <w:pStyle w:val="Heading2"/>
      </w:pPr>
      <w:r>
        <w:t>Parcours de démonstration</w:t>
      </w:r>
    </w:p>
    <w:p>
      <w:pPr>
        <w:pStyle w:val="ListBullet"/>
        <w:widowControl/>
      </w:pPr>
      <w:r>
        <w:t>L’agent se connecte et recherche le client par un identifiant de démonstration.</w:t>
      </w:r>
    </w:p>
    <w:p>
      <w:pPr>
        <w:pStyle w:val="ListBullet"/>
        <w:widowControl/>
      </w:pPr>
      <w:r>
        <w:t>S’il est absent, l’agent crée une fiche individuelle puis saisit une demande.</w:t>
      </w:r>
    </w:p>
    <w:p>
      <w:pPr>
        <w:pStyle w:val="ListBullet"/>
        <w:widowControl/>
      </w:pPr>
      <w:r>
        <w:t>L’administrateur ajoute un historique en distinguant contrat, échéances exactes, observations mensuelles, garanties et origine de chaque donnée.</w:t>
      </w:r>
    </w:p>
    <w:p>
      <w:pPr>
        <w:pStyle w:val="ListBullet"/>
        <w:widowControl/>
      </w:pPr>
      <w:r>
        <w:t>L’agent consulte la synthèse et le PDF; le rapport affiche un score uniquement si les données permettent un calcul, sinon une raison explicite.</w:t>
      </w:r>
    </w:p>
    <w:p>
      <w:pPr>
        <w:pStyle w:val="ListBullet"/>
        <w:widowControl/>
      </w:pPr>
      <w:r>
        <w:t>La consultation et les modifications sensibles sont inscrites dans le journal d’audit.</w:t>
      </w:r>
    </w:p>
    <w:p>
      <w:pPr>
        <w:pStyle w:val="Heading1"/>
      </w:pPr>
      <w:r>
        <w:t>4. Exigences fonctionnelles</w:t>
      </w:r>
    </w:p>
    <w:p>
      <w:pPr>
        <w:widowControl/>
      </w:pPr>
      <w:r>
        <w:t>Les exigences ci-dessous définissent ce que le prototype doit démontrer. Une fonction repérée dans le code reste à vérifier dans un parcours complet avant d’être considérée comme acceptée.</w:t>
      </w:r>
    </w:p>
    <w:tbl>
      <w:tblPr>
        <w:tblW w:type="auto" w:w="0"/>
        <w:jc w:val="center"/>
        <w:tblLayout w:type="fixed"/>
        <w:tblLook w:firstColumn="1" w:firstRow="1" w:lastColumn="0" w:lastRow="0" w:noHBand="0" w:noVBand="1" w:val="04A0"/>
        <w:tblBorders>
          <w:top w:val="single" w:sz="5" w:space="0" w:color="CDD5DB"/>
          <w:left w:val="single" w:sz="5" w:space="0" w:color="CDD5DB"/>
          <w:bottom w:val="single" w:sz="5" w:space="0" w:color="CDD5DB"/>
          <w:right w:val="single" w:sz="5" w:space="0" w:color="CDD5DB"/>
          <w:insideH w:val="single" w:sz="5" w:space="0" w:color="CDD5DB"/>
          <w:insideV w:val="single" w:sz="5" w:space="0" w:color="CDD5DB"/>
        </w:tblBorders>
      </w:tblPr>
      <w:tblGrid>
        <w:gridCol w:w="3213"/>
        <w:gridCol w:w="3213"/>
        <w:gridCol w:w="3213"/>
      </w:tblGrid>
      <w:tr>
        <w:trPr>
          <w:tblHeader w:val="true"/>
          <w:cantSplit/>
        </w:trPr>
        <w:tc>
          <w:tcPr>
            <w:tcW w:type="dxa" w:w="792"/>
            <w:vAlign w:val="center"/>
            <w:tcMar>
              <w:top w:w="90" w:type="dxa"/>
              <w:start w:w="100" w:type="dxa"/>
              <w:bottom w:w="90" w:type="dxa"/>
              <w:end w:w="100" w:type="dxa"/>
            </w:tcMar>
            <w:shd w:fill="243746"/>
          </w:tcPr>
          <w:p>
            <w:pPr>
              <w:spacing w:after="0" w:line="240" w:lineRule="auto"/>
            </w:pPr>
            <w:r/>
            <w:r>
              <w:rPr>
                <w:rFonts w:ascii="Arial" w:hAnsi="Arial"/>
                <w:b/>
                <w:color w:val="FFFFFF"/>
                <w:sz w:val="16"/>
              </w:rPr>
              <w:t>ID</w:t>
            </w:r>
          </w:p>
        </w:tc>
        <w:tc>
          <w:tcPr>
            <w:tcW w:type="dxa" w:w="1944"/>
            <w:vAlign w:val="center"/>
            <w:tcMar>
              <w:top w:w="90" w:type="dxa"/>
              <w:start w:w="100" w:type="dxa"/>
              <w:bottom w:w="90" w:type="dxa"/>
              <w:end w:w="100" w:type="dxa"/>
            </w:tcMar>
            <w:shd w:fill="243746"/>
          </w:tcPr>
          <w:p>
            <w:pPr>
              <w:spacing w:after="0" w:line="240" w:lineRule="auto"/>
            </w:pPr>
            <w:r/>
            <w:r>
              <w:rPr>
                <w:rFonts w:ascii="Arial" w:hAnsi="Arial"/>
                <w:b/>
                <w:color w:val="FFFFFF"/>
                <w:sz w:val="16"/>
              </w:rPr>
              <w:t>Exigence</w:t>
            </w:r>
          </w:p>
        </w:tc>
        <w:tc>
          <w:tcPr>
            <w:tcW w:type="dxa" w:w="6768"/>
            <w:vAlign w:val="center"/>
            <w:tcMar>
              <w:top w:w="90" w:type="dxa"/>
              <w:start w:w="100" w:type="dxa"/>
              <w:bottom w:w="90" w:type="dxa"/>
              <w:end w:w="100" w:type="dxa"/>
            </w:tcMar>
            <w:shd w:fill="243746"/>
          </w:tcPr>
          <w:p>
            <w:pPr>
              <w:spacing w:after="0" w:line="240" w:lineRule="auto"/>
            </w:pPr>
            <w:r/>
            <w:r>
              <w:rPr>
                <w:rFonts w:ascii="Arial" w:hAnsi="Arial"/>
                <w:b/>
                <w:color w:val="FFFFFF"/>
                <w:sz w:val="16"/>
              </w:rPr>
              <w:t>Critère d’acceptation</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F01</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Authentification et rôles</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Un agent accède aux écrans métier; seules les actions administrateur autorisées permettent de saisir ou modifier un historique.</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F02</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Client individuel</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La recherche et la création évitent un doublon à partir d’un identifiant convenu; les champs obligatoires sont visibles.</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F03</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Demande</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La demande contient les codes et montants convenus, une devise explicite et une phase définie par le référentiel métier.</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F04</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Historique</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L’administrateur peut enregistrer et corriger les champs disponibles dans la source; l’origine et les éléments inconnus sont conservés.</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F05</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Retards</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Les échéances exactes alimentent les tranches 1–29, 30–59, 60–89, 90–119, 120–149, 150–179 et 180+ jours.</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F06</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Observations mensuelles</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Les statuts mensuels restent séparés des échéances datées; aucun montant ou calendrier exact n’est créé sans source.</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F07</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Rapport</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Le rapport rassemble l’identité, la demande, les contrats, les paiements, l’exposition, les impayés, les garanties et les raisons de non-calcul.</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F08</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PDF</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Le PDF se télécharge et s’ouvre en aperçu; les données affichées correspondent au rapport consulté.</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F09</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Alertes et recherche</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Les critères, filtres, phases et niveaux d’alerte sont définis et produisent des résultats cohérents.</w:t>
            </w:r>
          </w:p>
        </w:tc>
      </w:tr>
      <w:tr>
        <w:trPr>
          <w:cantSplit/>
        </w:trPr>
        <w:tc>
          <w:tcPr>
            <w:tcW w:type="dxa" w:w="792"/>
            <w:vAlign w:val="center"/>
            <w:tcMar>
              <w:top w:w="90" w:type="dxa"/>
              <w:start w:w="100" w:type="dxa"/>
              <w:bottom w:w="90" w:type="dxa"/>
              <w:end w:w="100" w:type="dxa"/>
            </w:tcMar>
            <w:shd w:fill="F3F6F8"/>
          </w:tcPr>
          <w:p>
            <w:pPr>
              <w:spacing w:after="0" w:line="240" w:lineRule="auto"/>
            </w:pPr>
            <w:r/>
            <w:r>
              <w:rPr>
                <w:rFonts w:ascii="Arial" w:hAnsi="Arial"/>
                <w:b/>
                <w:color w:val="000000"/>
                <w:sz w:val="16"/>
              </w:rPr>
              <w:t>F10</w:t>
            </w:r>
          </w:p>
        </w:tc>
        <w:tc>
          <w:tcPr>
            <w:tcW w:type="dxa" w:w="1944"/>
            <w:vAlign w:val="center"/>
            <w:tcMar>
              <w:top w:w="90" w:type="dxa"/>
              <w:start w:w="100" w:type="dxa"/>
              <w:bottom w:w="90" w:type="dxa"/>
              <w:end w:w="100" w:type="dxa"/>
            </w:tcMar>
          </w:tcPr>
          <w:p>
            <w:pPr>
              <w:spacing w:after="0" w:line="240" w:lineRule="auto"/>
            </w:pPr>
            <w:r/>
            <w:r>
              <w:rPr>
                <w:rFonts w:ascii="Arial" w:hAnsi="Arial"/>
                <w:b w:val="0"/>
                <w:color w:val="000000"/>
                <w:sz w:val="16"/>
              </w:rPr>
              <w:t>Audit</w:t>
            </w:r>
          </w:p>
        </w:tc>
        <w:tc>
          <w:tcPr>
            <w:tcW w:type="dxa" w:w="6768"/>
            <w:vAlign w:val="center"/>
            <w:tcMar>
              <w:top w:w="90" w:type="dxa"/>
              <w:start w:w="100" w:type="dxa"/>
              <w:bottom w:w="90" w:type="dxa"/>
              <w:end w:w="100" w:type="dxa"/>
            </w:tcMar>
          </w:tcPr>
          <w:p>
            <w:pPr>
              <w:spacing w:after="0" w:line="240" w:lineRule="auto"/>
            </w:pPr>
            <w:r/>
            <w:r>
              <w:rPr>
                <w:rFonts w:ascii="Arial" w:hAnsi="Arial"/>
                <w:b w:val="0"/>
                <w:color w:val="000000"/>
                <w:sz w:val="16"/>
              </w:rPr>
              <w:t>Les consultations et modifications sensibles sont attribuées à l’utilisateur et datées.</w:t>
            </w:r>
          </w:p>
        </w:tc>
      </w:tr>
    </w:tbl>
    <w:p>
      <w:pPr>
        <w:spacing w:after="20"/>
      </w:pPr>
    </w:p>
    <w:p>
      <w:pPr>
        <w:pStyle w:val="Heading1"/>
      </w:pPr>
      <w:r>
        <w:t>5. Données et règles métier</w:t>
      </w:r>
    </w:p>
    <w:p>
      <w:pPr>
        <w:pStyle w:val="Heading2"/>
      </w:pPr>
      <w:r>
        <w:t>Données gérées</w:t>
      </w:r>
    </w:p>
    <w:p>
      <w:pPr>
        <w:pStyle w:val="ListBullet"/>
        <w:widowControl/>
      </w:pPr>
      <w:r>
        <w:t>Client individuel : identifiants, nom et prénoms, naissance, coordonnées, adresses, situation et emploi; le revenu annuel reste facultatif tant que le calcul demandé ne l’exige pas.</w:t>
      </w:r>
    </w:p>
    <w:p>
      <w:pPr>
        <w:pStyle w:val="ListBullet"/>
        <w:widowControl/>
      </w:pPr>
      <w:r>
        <w:t>Demande et contrat : codes, phase, dates présentes dans la source, montant financé, échéance, durée, périodicité, devise, clôture et restructuration si ces champs sont fournis.</w:t>
      </w:r>
    </w:p>
    <w:p>
      <w:pPr>
        <w:pStyle w:val="ListBullet"/>
        <w:widowControl/>
      </w:pPr>
      <w:r>
        <w:t>Paiements : échéances exactes avec dates et montants; observations mensuelles avec mois, statut et retard connu; garanties et clients liés lorsque la source les identifie.</w:t>
      </w:r>
    </w:p>
    <w:p>
      <w:pPr>
        <w:pStyle w:val="ListBullet"/>
        <w:widowControl/>
      </w:pPr>
      <w:r>
        <w:t>Traçabilité : origine de la donnée, auteur de saisie, date de modification et référence source non nominative.</w:t>
      </w:r>
    </w:p>
    <w:p>
      <w:pPr>
        <w:pStyle w:val="Heading2"/>
      </w:pPr>
      <w:r>
        <w:t>Règles de qualité</w:t>
      </w:r>
    </w:p>
    <w:tbl>
      <w:tblPr>
        <w:tblW w:type="auto" w:w="0"/>
        <w:jc w:val="center"/>
        <w:tblLayout w:type="fixed"/>
        <w:tblLook w:firstColumn="1" w:firstRow="1" w:lastColumn="0" w:lastRow="0" w:noHBand="0" w:noVBand="1" w:val="04A0"/>
        <w:tblBorders>
          <w:top w:val="single" w:sz="5" w:space="0" w:color="CDD5DB"/>
          <w:left w:val="single" w:sz="5" w:space="0" w:color="CDD5DB"/>
          <w:bottom w:val="single" w:sz="5" w:space="0" w:color="CDD5DB"/>
          <w:right w:val="single" w:sz="5" w:space="0" w:color="CDD5DB"/>
          <w:insideH w:val="single" w:sz="5" w:space="0" w:color="CDD5DB"/>
          <w:insideV w:val="single" w:sz="5" w:space="0" w:color="CDD5DB"/>
        </w:tblBorders>
      </w:tblPr>
      <w:tblGrid>
        <w:gridCol w:w="4819"/>
        <w:gridCol w:w="4819"/>
      </w:tblGrid>
      <w:tr>
        <w:trPr>
          <w:tblHeader w:val="true"/>
          <w:cantSplit/>
        </w:trPr>
        <w:tc>
          <w:tcPr>
            <w:tcW w:type="dxa" w:w="1800"/>
            <w:vAlign w:val="center"/>
            <w:tcMar>
              <w:top w:w="90" w:type="dxa"/>
              <w:start w:w="100" w:type="dxa"/>
              <w:bottom w:w="90" w:type="dxa"/>
              <w:end w:w="100" w:type="dxa"/>
            </w:tcMar>
            <w:shd w:fill="243746"/>
          </w:tcPr>
          <w:p>
            <w:pPr>
              <w:spacing w:after="0" w:line="240" w:lineRule="auto"/>
            </w:pPr>
            <w:r/>
            <w:r>
              <w:rPr>
                <w:rFonts w:ascii="Arial" w:hAnsi="Arial"/>
                <w:b/>
                <w:color w:val="FFFFFF"/>
                <w:sz w:val="17"/>
              </w:rPr>
              <w:t>Règle</w:t>
            </w:r>
          </w:p>
        </w:tc>
        <w:tc>
          <w:tcPr>
            <w:tcW w:type="dxa" w:w="7704"/>
            <w:vAlign w:val="center"/>
            <w:tcMar>
              <w:top w:w="90" w:type="dxa"/>
              <w:start w:w="100" w:type="dxa"/>
              <w:bottom w:w="90" w:type="dxa"/>
              <w:end w:w="100" w:type="dxa"/>
            </w:tcMar>
            <w:shd w:fill="243746"/>
          </w:tcPr>
          <w:p>
            <w:pPr>
              <w:spacing w:after="0" w:line="240" w:lineRule="auto"/>
            </w:pPr>
            <w:r/>
            <w:r>
              <w:rPr>
                <w:rFonts w:ascii="Arial" w:hAnsi="Arial"/>
                <w:b/>
                <w:color w:val="FFFFFF"/>
                <w:sz w:val="17"/>
              </w:rPr>
              <w:t>Comportement attendu</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7"/>
              </w:rPr>
              <w:t>Origine</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7"/>
              </w:rPr>
              <w:t>Distinguer données fictives, données transcrites depuis une source et origine inconnue. Ne pas présenter une ligne sans origine comme un dossier CECAM réel.</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7"/>
              </w:rPr>
              <w:t>Dates et montants</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7"/>
              </w:rPr>
              <w:t>Afficher les dates en jj/mm/aaaa et les montants avec séparateurs de milliers; conserver les valeurs structurées dans la base.</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7"/>
              </w:rPr>
              <w:t>Échéanciers</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7"/>
              </w:rPr>
              <w:t>Un statut mensuel sans date et montant exact ne devient pas une échéance.</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7"/>
              </w:rPr>
              <w:t>Devises</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7"/>
              </w:rPr>
              <w:t>Agréger séparément les montants par devise. Aucune conversion n’est calculée sans taux et date de référence validés.</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7"/>
              </w:rPr>
              <w:t>Données manquantes</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7"/>
              </w:rPr>
              <w:t>Afficher « non renseigné » ou empêcher le calcul concerné avec une raison; ne pas remplacer par zéro par défaut.</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7"/>
              </w:rPr>
              <w:t>Doublons</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7"/>
              </w:rPr>
              <w:t>Définir l’identifiant de rapprochement et les règles de correction avant d’importer des données existantes.</w:t>
            </w:r>
          </w:p>
        </w:tc>
      </w:tr>
    </w:tbl>
    <w:p>
      <w:pPr>
        <w:spacing w:after="20"/>
      </w:pPr>
    </w:p>
    <w:p>
      <w:pPr>
        <w:pStyle w:val="Heading1"/>
      </w:pPr>
      <w:r>
        <w:t>6. Score et limites d’interprétation</w:t>
      </w:r>
    </w:p>
    <w:p>
      <w:pPr>
        <w:widowControl/>
      </w:pPr>
      <w:r>
        <w:t>Le code contient un score calculé par des règles paramétrables et une grille de catégories A à E. Le calcul exploite notamment l’historique de paiement et certains indicateurs financiers lorsque les données sont disponibles. Il peut aussi renvoyer une raison de non-calcul.</w:t>
      </w:r>
    </w:p>
    <w:p>
      <w:pPr>
        <w:widowControl/>
      </w:pPr>
      <w:r>
        <w:t>Les pondérations et seuils présents dans le prototype n’ont pas été validés sur un historique de remboursements CECAM labellisé. Quelques rapports CRIF ne permettent pas de mesurer la probabilité de défaut ni de démontrer qu’un score classe correctement les dossiers. Le score ne doit donc pas être présenté comme le score CRIF, comme une probabilité statistique de défaut ou comme une décision de crédit.</w:t>
      </w:r>
    </w:p>
    <w:p>
      <w:pPr>
        <w:pStyle w:val="Heading2"/>
      </w:pPr>
      <w:r>
        <w:t>Conditions minimales avant toute calibration</w:t>
      </w:r>
    </w:p>
    <w:p>
      <w:pPr>
        <w:pStyle w:val="ListBullet"/>
        <w:widowControl/>
      </w:pPr>
      <w:r>
        <w:t>Obtenir un échantillon dont l’usage est autorisé, anonymisé et représentatif des dossiers visés.</w:t>
      </w:r>
    </w:p>
    <w:p>
      <w:pPr>
        <w:pStyle w:val="ListBullet"/>
        <w:widowControl/>
      </w:pPr>
      <w:r>
        <w:t>Définir la cible métier (retard, défaut, durée d’observation, traitement des restructurations et des remboursements anticipés).</w:t>
      </w:r>
    </w:p>
    <w:p>
      <w:pPr>
        <w:pStyle w:val="ListBullet"/>
        <w:widowControl/>
      </w:pPr>
      <w:r>
        <w:t>Valider les règles, pondérations, seuils A–E et messages de non-calcul avec le responsable crédit/risque.</w:t>
      </w:r>
    </w:p>
    <w:p>
      <w:pPr>
        <w:pStyle w:val="ListBullet"/>
        <w:widowControl/>
      </w:pPr>
      <w:r>
        <w:t>Tester la stabilité, les erreurs et les biais sur des données séparées de celles utilisées pour régler le score.</w:t>
      </w:r>
    </w:p>
    <w:p>
      <w:pPr>
        <w:pStyle w:val="ListBullet"/>
        <w:widowControl/>
      </w:pPr>
      <w:r>
        <w:t>Versionner la grille et conserver la date, les données disponibles et la version de règle utilisée pour chaque score.</w:t>
      </w:r>
    </w:p>
    <w:p>
      <w:pPr>
        <w:pStyle w:val="ListBullet"/>
        <w:widowControl/>
      </w:pPr>
      <w:r>
        <w:t>Garder une décision humaine, une possibilité de correction et une trace de la justification.</w:t>
      </w:r>
    </w:p>
    <w:tbl>
      <w:tblPr>
        <w:tblW w:type="auto" w:w="0"/>
        <w:jc w:val="center"/>
        <w:tblLook w:firstColumn="1" w:firstRow="1" w:lastColumn="0" w:lastRow="0" w:noHBand="0" w:noVBand="1" w:val="04A0"/>
        <w:tblBorders>
          <w:top w:val="single" w:sz="8" w:space="0" w:color="AFC1CE"/>
          <w:left w:val="single" w:sz="8" w:space="0" w:color="AFC1CE"/>
          <w:bottom w:val="single" w:sz="8" w:space="0" w:color="AFC1CE"/>
          <w:right w:val="single" w:sz="8" w:space="0" w:color="AFC1CE"/>
          <w:insideH w:val="single" w:sz="8" w:space="0" w:color="AFC1CE"/>
          <w:insideV w:val="single" w:sz="8" w:space="0" w:color="AFC1CE"/>
        </w:tblBorders>
      </w:tblPr>
      <w:tblGrid>
        <w:gridCol w:w="9638"/>
      </w:tblGrid>
      <w:tr>
        <w:tc>
          <w:tcPr>
            <w:tcW w:type="dxa" w:w="9638"/>
            <w:shd w:fill="DDE8EF"/>
            <w:tcMar>
              <w:top w:w="140" w:type="dxa"/>
              <w:start w:w="160" w:type="dxa"/>
              <w:bottom w:w="140" w:type="dxa"/>
              <w:end w:w="160" w:type="dxa"/>
            </w:tcMar>
          </w:tcPr>
          <w:p>
            <w:pPr>
              <w:spacing w:after="60"/>
            </w:pPr>
            <w:r/>
            <w:r>
              <w:rPr>
                <w:rFonts w:ascii="Arial" w:hAnsi="Arial"/>
                <w:b/>
                <w:sz w:val="20"/>
              </w:rPr>
              <w:t>Règle de communication</w:t>
            </w:r>
          </w:p>
          <w:p>
            <w:pPr>
              <w:spacing w:after="0" w:line="247" w:lineRule="auto"/>
            </w:pPr>
            <w:r>
              <w:rPr>
                <w:rFonts w:ascii="Arial" w:hAnsi="Arial"/>
                <w:sz w:val="18"/>
              </w:rPr>
              <w:t>Pour la soutenance, parler d’un indicateur expérimental d’aide à l’analyse. Ne pas annoncer un score « fiable » ou « validé » tant que CECAM n’a pas approuvé la méthode et que sa performance n’a pas été mesurée.</w:t>
            </w:r>
          </w:p>
        </w:tc>
      </w:tr>
    </w:tbl>
    <w:p>
      <w:pPr>
        <w:spacing w:after="20"/>
      </w:pPr>
    </w:p>
    <w:p>
      <w:pPr>
        <w:pStyle w:val="Heading1"/>
      </w:pPr>
      <w:r>
        <w:t>7. Rapport de solvabilité</w:t>
      </w:r>
    </w:p>
    <w:p>
      <w:pPr>
        <w:widowControl/>
      </w:pPr>
      <w:r>
        <w:t>Le rapport doit reprendre les rubriques nécessaires à l’analyse interne, avec une présentation inspirée des rapports de référence. Il doit indiquer la date de génération, l’origine des données et les limites qui changent l’interprétation.</w:t>
      </w:r>
    </w:p>
    <w:p>
      <w:pPr>
        <w:pStyle w:val="ListBullet"/>
        <w:widowControl/>
      </w:pPr>
      <w:r>
        <w:t>Synthèse du client et de la demande courante.</w:t>
      </w:r>
    </w:p>
    <w:p>
      <w:pPr>
        <w:pStyle w:val="ListBullet"/>
        <w:widowControl/>
      </w:pPr>
      <w:r>
        <w:t>Répartition de l’historique par catégorie et phase, puis détail des contrats.</w:t>
      </w:r>
    </w:p>
    <w:p>
      <w:pPr>
        <w:pStyle w:val="ListBullet"/>
        <w:widowControl/>
      </w:pPr>
      <w:r>
        <w:t>Encours et impayés mensuels par catégorie, sans additionner des devises différentes.</w:t>
      </w:r>
    </w:p>
    <w:p>
      <w:pPr>
        <w:pStyle w:val="ListBullet"/>
        <w:widowControl/>
      </w:pPr>
      <w:r>
        <w:t>Historique de paiement par mois, statut disponible et tranche de retard.</w:t>
      </w:r>
    </w:p>
    <w:p>
      <w:pPr>
        <w:pStyle w:val="ListBullet"/>
        <w:widowControl/>
      </w:pPr>
      <w:r>
        <w:t>Garanties, liens entre clients et informations de leasing lorsque ces données existent.</w:t>
      </w:r>
    </w:p>
    <w:p>
      <w:pPr>
        <w:pStyle w:val="ListBullet"/>
        <w:widowControl/>
      </w:pPr>
      <w:r>
        <w:t>Alertes présentes et historique de consultations, selon les règles d’accès.</w:t>
      </w:r>
    </w:p>
    <w:p>
      <w:pPr>
        <w:pStyle w:val="ListBullet"/>
        <w:widowControl/>
      </w:pPr>
      <w:r>
        <w:t>Score synthétique ou raison de non-calcul; aucune décomposition interne du score dans le PDF.</w:t>
      </w:r>
    </w:p>
    <w:p>
      <w:pPr>
        <w:pStyle w:val="ListBullet"/>
        <w:widowControl/>
      </w:pPr>
      <w:r>
        <w:t>Avertissement visible indiquant que le rapport soutient l’analyse humaine et ne décide pas automatiquement du crédit.</w:t>
      </w:r>
    </w:p>
    <w:p>
      <w:pPr>
        <w:pStyle w:val="Heading1"/>
      </w:pPr>
      <w:r>
        <w:t>8. Sécurité, qualité et exploitation</w:t>
      </w:r>
    </w:p>
    <w:tbl>
      <w:tblPr>
        <w:tblW w:type="auto" w:w="0"/>
        <w:jc w:val="center"/>
        <w:tblLayout w:type="fixed"/>
        <w:tblLook w:firstColumn="1" w:firstRow="1" w:lastColumn="0" w:lastRow="0" w:noHBand="0" w:noVBand="1" w:val="04A0"/>
        <w:tblBorders>
          <w:top w:val="single" w:sz="5" w:space="0" w:color="CDD5DB"/>
          <w:left w:val="single" w:sz="5" w:space="0" w:color="CDD5DB"/>
          <w:bottom w:val="single" w:sz="5" w:space="0" w:color="CDD5DB"/>
          <w:right w:val="single" w:sz="5" w:space="0" w:color="CDD5DB"/>
          <w:insideH w:val="single" w:sz="5" w:space="0" w:color="CDD5DB"/>
          <w:insideV w:val="single" w:sz="5" w:space="0" w:color="CDD5DB"/>
        </w:tblBorders>
      </w:tblPr>
      <w:tblGrid>
        <w:gridCol w:w="4819"/>
        <w:gridCol w:w="4819"/>
      </w:tblGrid>
      <w:tr>
        <w:trPr>
          <w:tblHeader w:val="true"/>
          <w:cantSplit/>
        </w:trPr>
        <w:tc>
          <w:tcPr>
            <w:tcW w:type="dxa" w:w="1800"/>
            <w:vAlign w:val="center"/>
            <w:tcMar>
              <w:top w:w="90" w:type="dxa"/>
              <w:start w:w="100" w:type="dxa"/>
              <w:bottom w:w="90" w:type="dxa"/>
              <w:end w:w="100" w:type="dxa"/>
            </w:tcMar>
            <w:shd w:fill="243746"/>
          </w:tcPr>
          <w:p>
            <w:pPr>
              <w:spacing w:after="0" w:line="240" w:lineRule="auto"/>
            </w:pPr>
            <w:r/>
            <w:r>
              <w:rPr>
                <w:rFonts w:ascii="Arial" w:hAnsi="Arial"/>
                <w:b/>
                <w:color w:val="FFFFFF"/>
                <w:sz w:val="16"/>
              </w:rPr>
              <w:t>Domaine</w:t>
            </w:r>
          </w:p>
        </w:tc>
        <w:tc>
          <w:tcPr>
            <w:tcW w:type="dxa" w:w="7704"/>
            <w:vAlign w:val="center"/>
            <w:tcMar>
              <w:top w:w="90" w:type="dxa"/>
              <w:start w:w="100" w:type="dxa"/>
              <w:bottom w:w="90" w:type="dxa"/>
              <w:end w:w="100" w:type="dxa"/>
            </w:tcMar>
            <w:shd w:fill="243746"/>
          </w:tcPr>
          <w:p>
            <w:pPr>
              <w:spacing w:after="0" w:line="240" w:lineRule="auto"/>
            </w:pPr>
            <w:r/>
            <w:r>
              <w:rPr>
                <w:rFonts w:ascii="Arial" w:hAnsi="Arial"/>
                <w:b/>
                <w:color w:val="FFFFFF"/>
                <w:sz w:val="16"/>
              </w:rPr>
              <w:t>Exigence pour le prototype et évolution attendue</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6"/>
              </w:rPr>
              <w:t>Accès</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6"/>
              </w:rPr>
              <w:t>Contrôles par rôle sur l’interface et l’API; limiter les comptes de démonstration et changer les secrets avant tout partage.</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6"/>
              </w:rPr>
              <w:t>Confidentialité</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6"/>
              </w:rPr>
              <w:t>Ne pas versionner de noms, CIN, codes client, mots de passe, jetons ou extraits nominaux; limiter les informations conservées dans les journaux.</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6"/>
              </w:rPr>
              <w:t>Secrets et réseau</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6"/>
              </w:rPr>
              <w:t>Charger les secrets depuis l’environnement; fixer les origines CORS autorisées; utiliser HTTPS avant tout accès partagé.</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6"/>
              </w:rPr>
              <w:t>Base de données</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6"/>
              </w:rPr>
              <w:t>Documenter les versions de schéma et appliquer des migrations contrôlées. Sauvegarder avant modification; ne pas utiliser la suppression/recréation de la base comme procédure normale.</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6"/>
              </w:rPr>
              <w:t>Tests</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6"/>
              </w:rPr>
              <w:t>Ajouter des tests métier pour les scores, tranches de retard, agrégats mensuels, droits administrateur et génération PDF.</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6"/>
              </w:rPr>
              <w:t>Démonstration locale</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6"/>
              </w:rPr>
              <w:t>Vérifier PostgreSQL avant le lancement, n’exécuter qu’une instance du backend sur 8080 et confirmer le message de démarrage Spring, pas seulement le BUILD SUCCESS de Maven.</w:t>
            </w:r>
          </w:p>
        </w:tc>
      </w:tr>
      <w:tr>
        <w:trPr>
          <w:cantSplit/>
        </w:trPr>
        <w:tc>
          <w:tcPr>
            <w:tcW w:type="dxa" w:w="1800"/>
            <w:vAlign w:val="center"/>
            <w:tcMar>
              <w:top w:w="90" w:type="dxa"/>
              <w:start w:w="100" w:type="dxa"/>
              <w:bottom w:w="90" w:type="dxa"/>
              <w:end w:w="100" w:type="dxa"/>
            </w:tcMar>
            <w:shd w:fill="F3F6F8"/>
          </w:tcPr>
          <w:p>
            <w:pPr>
              <w:spacing w:after="0" w:line="240" w:lineRule="auto"/>
            </w:pPr>
            <w:r/>
            <w:r>
              <w:rPr>
                <w:rFonts w:ascii="Arial" w:hAnsi="Arial"/>
                <w:b/>
                <w:color w:val="000000"/>
                <w:sz w:val="16"/>
              </w:rPr>
              <w:t>Exploitation future</w:t>
            </w:r>
          </w:p>
        </w:tc>
        <w:tc>
          <w:tcPr>
            <w:tcW w:type="dxa" w:w="7704"/>
            <w:vAlign w:val="center"/>
            <w:tcMar>
              <w:top w:w="90" w:type="dxa"/>
              <w:start w:w="100" w:type="dxa"/>
              <w:bottom w:w="90" w:type="dxa"/>
              <w:end w:w="100" w:type="dxa"/>
            </w:tcMar>
          </w:tcPr>
          <w:p>
            <w:pPr>
              <w:spacing w:after="0" w:line="240" w:lineRule="auto"/>
            </w:pPr>
            <w:r/>
            <w:r>
              <w:rPr>
                <w:rFonts w:ascii="Arial" w:hAnsi="Arial"/>
                <w:b w:val="0"/>
                <w:color w:val="000000"/>
                <w:sz w:val="16"/>
              </w:rPr>
              <w:t>Définir hébergement, nombre d’utilisateurs, sauvegardes et restauration, supervision, mises à jour et responsable de support.</w:t>
            </w:r>
          </w:p>
        </w:tc>
      </w:tr>
    </w:tbl>
    <w:p>
      <w:pPr>
        <w:spacing w:after="20"/>
      </w:pPr>
    </w:p>
    <w:p>
      <w:pPr>
        <w:pStyle w:val="Heading1"/>
      </w:pPr>
      <w:r>
        <w:t>9. État observé du code au 9 octobre 2026</w:t>
      </w:r>
    </w:p>
    <w:p>
      <w:pPr>
        <w:widowControl/>
      </w:pPr>
      <w:r>
        <w:t>Cet état est une lecture du code et des configurations du dépôt. Il ne vaut pas recette utilisateur ni validation par CECAM.</w:t>
      </w:r>
    </w:p>
    <w:tbl>
      <w:tblPr>
        <w:tblW w:type="auto" w:w="0"/>
        <w:jc w:val="center"/>
        <w:tblLayout w:type="fixed"/>
        <w:tblLook w:firstColumn="1" w:firstRow="1" w:lastColumn="0" w:lastRow="0" w:noHBand="0" w:noVBand="1" w:val="04A0"/>
        <w:tblBorders>
          <w:top w:val="single" w:sz="5" w:space="0" w:color="CDD5DB"/>
          <w:left w:val="single" w:sz="5" w:space="0" w:color="CDD5DB"/>
          <w:bottom w:val="single" w:sz="5" w:space="0" w:color="CDD5DB"/>
          <w:right w:val="single" w:sz="5" w:space="0" w:color="CDD5DB"/>
          <w:insideH w:val="single" w:sz="5" w:space="0" w:color="CDD5DB"/>
          <w:insideV w:val="single" w:sz="5" w:space="0" w:color="CDD5DB"/>
        </w:tblBorders>
      </w:tblPr>
      <w:tblGrid>
        <w:gridCol w:w="3213"/>
        <w:gridCol w:w="3213"/>
        <w:gridCol w:w="3213"/>
      </w:tblGrid>
      <w:tr>
        <w:trPr>
          <w:tblHeader w:val="true"/>
          <w:cantSplit/>
        </w:trPr>
        <w:tc>
          <w:tcPr>
            <w:tcW w:type="dxa" w:w="1584"/>
            <w:vAlign w:val="center"/>
            <w:tcMar>
              <w:top w:w="90" w:type="dxa"/>
              <w:start w:w="100" w:type="dxa"/>
              <w:bottom w:w="90" w:type="dxa"/>
              <w:end w:w="100" w:type="dxa"/>
            </w:tcMar>
            <w:shd w:fill="243746"/>
          </w:tcPr>
          <w:p>
            <w:pPr>
              <w:spacing w:after="0" w:line="240" w:lineRule="auto"/>
            </w:pPr>
            <w:r/>
            <w:r>
              <w:rPr>
                <w:rFonts w:ascii="Arial" w:hAnsi="Arial"/>
                <w:b/>
                <w:color w:val="FFFFFF"/>
                <w:sz w:val="15"/>
              </w:rPr>
              <w:t>Sujet</w:t>
            </w:r>
          </w:p>
        </w:tc>
        <w:tc>
          <w:tcPr>
            <w:tcW w:type="dxa" w:w="3528"/>
            <w:vAlign w:val="center"/>
            <w:tcMar>
              <w:top w:w="90" w:type="dxa"/>
              <w:start w:w="100" w:type="dxa"/>
              <w:bottom w:w="90" w:type="dxa"/>
              <w:end w:w="100" w:type="dxa"/>
            </w:tcMar>
            <w:shd w:fill="243746"/>
          </w:tcPr>
          <w:p>
            <w:pPr>
              <w:spacing w:after="0" w:line="240" w:lineRule="auto"/>
            </w:pPr>
            <w:r/>
            <w:r>
              <w:rPr>
                <w:rFonts w:ascii="Arial" w:hAnsi="Arial"/>
                <w:b/>
                <w:color w:val="FFFFFF"/>
                <w:sz w:val="15"/>
              </w:rPr>
              <w:t>Présent dans le code</w:t>
            </w:r>
          </w:p>
        </w:tc>
        <w:tc>
          <w:tcPr>
            <w:tcW w:type="dxa" w:w="4392"/>
            <w:vAlign w:val="center"/>
            <w:tcMar>
              <w:top w:w="90" w:type="dxa"/>
              <w:start w:w="100" w:type="dxa"/>
              <w:bottom w:w="90" w:type="dxa"/>
              <w:end w:w="100" w:type="dxa"/>
            </w:tcMar>
            <w:shd w:fill="243746"/>
          </w:tcPr>
          <w:p>
            <w:pPr>
              <w:spacing w:after="0" w:line="240" w:lineRule="auto"/>
            </w:pPr>
            <w:r/>
            <w:r>
              <w:rPr>
                <w:rFonts w:ascii="Arial" w:hAnsi="Arial"/>
                <w:b/>
                <w:color w:val="FFFFFF"/>
                <w:sz w:val="15"/>
              </w:rPr>
              <w:t>À compléter ou décider</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Client, demande et rapport</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Formulaires, API, routes et production d’un PDF sont présents.</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Valider le parcours complet et les champs requis avec un cas de démonstration anonymisé.</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Historique administrateur</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Page et endpoints existent; l’API exige le rôle ADMIN.</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Vérifier toutes les données source, les cas incomplets et les droits dans l’application.</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Paiements et retards</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Échéances datées, observations mensuelles et buckets partagés sont modélisés.</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Créer des scénarios de référence et faire valider les résultats calculés.</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Situation mensuelle</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Un service d’agrégation mensuelle par catégorie existe.</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Réconcilier ses totaux avec des cas de test indépendants et des devises explicites.</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Score</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ScoreService et grille paramétrable existent; certains cas renvoient une raison de non-calcul.</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Faire approuver règles et seuils; aucune calibration CECAM n’est démontrée.</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Session</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Le frontend déclenche une déconnexion après dix minutes d’inactivité.</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Vérifier le comportement après expiration du jeton et les réponses 401.</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Import CSV</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Une page et une route frontend /admin/import subsistent; chaque ligne appelle l’API de création client.</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Le retirer si l’import n’est pas autorisé et nécessaire; aucun service d’import dédié n’est présent.</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Alertes</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L’API liste les alertes d’échéances.</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Le contrôleur ne reçoit pas encore les critères de filtre attendus; valider niveaux, utilisateurs, agences et type de téléchargement.</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Mise à jour de demande</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La page de mise à jour existe.</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Tester la recherche par codes et la cohérence de tous les champs avec le contrat API.</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Migration et tests</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Des scripts SQL manuels et un test applicatif existent.</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Prévoir des migrations ordonnées et des tests métier dédiés; éviter une remise à zéro destructive.</w:t>
            </w:r>
          </w:p>
        </w:tc>
      </w:tr>
      <w:tr>
        <w:trPr>
          <w:cantSplit/>
        </w:trPr>
        <w:tc>
          <w:tcPr>
            <w:tcW w:type="dxa" w:w="1584"/>
            <w:vAlign w:val="center"/>
            <w:tcMar>
              <w:top w:w="90" w:type="dxa"/>
              <w:start w:w="100" w:type="dxa"/>
              <w:bottom w:w="90" w:type="dxa"/>
              <w:end w:w="100" w:type="dxa"/>
            </w:tcMar>
            <w:shd w:fill="F3F6F8"/>
          </w:tcPr>
          <w:p>
            <w:pPr>
              <w:spacing w:after="0" w:line="240" w:lineRule="auto"/>
            </w:pPr>
            <w:r/>
            <w:r>
              <w:rPr>
                <w:rFonts w:ascii="Arial" w:hAnsi="Arial"/>
                <w:b/>
                <w:color w:val="000000"/>
                <w:sz w:val="15"/>
              </w:rPr>
              <w:t>Déploiement</w:t>
            </w:r>
          </w:p>
        </w:tc>
        <w:tc>
          <w:tcPr>
            <w:tcW w:type="dxa" w:w="3528"/>
            <w:vAlign w:val="center"/>
            <w:tcMar>
              <w:top w:w="90" w:type="dxa"/>
              <w:start w:w="100" w:type="dxa"/>
              <w:bottom w:w="90" w:type="dxa"/>
              <w:end w:w="100" w:type="dxa"/>
            </w:tcMar>
          </w:tcPr>
          <w:p>
            <w:pPr>
              <w:spacing w:after="0" w:line="240" w:lineRule="auto"/>
            </w:pPr>
            <w:r/>
            <w:r>
              <w:rPr>
                <w:rFonts w:ascii="Arial" w:hAnsi="Arial"/>
                <w:b w:val="0"/>
                <w:color w:val="000000"/>
                <w:sz w:val="15"/>
              </w:rPr>
              <w:t>Le dépôt est organisé pour un lancement local.</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Aucun dispositif de production complet n’est établi dans ce cahier.</w:t>
            </w:r>
          </w:p>
        </w:tc>
      </w:tr>
    </w:tbl>
    <w:p>
      <w:pPr>
        <w:spacing w:after="20"/>
      </w:pPr>
    </w:p>
    <w:p>
      <w:pPr>
        <w:pStyle w:val="Heading1"/>
      </w:pPr>
      <w:r>
        <w:t>10. Améliorations à prioriser</w:t>
      </w:r>
    </w:p>
    <w:p>
      <w:pPr>
        <w:pStyle w:val="Heading2"/>
      </w:pPr>
      <w:r>
        <w:t>P0 — rendre la démonstration fiable</w:t>
      </w:r>
    </w:p>
    <w:p>
      <w:pPr>
        <w:pStyle w:val="ListBullet"/>
        <w:widowControl/>
      </w:pPr>
      <w:r>
        <w:t>Fixer avec l’encadreur le périmètre individuel et les fonctions montrées à la soutenance.</w:t>
      </w:r>
    </w:p>
    <w:p>
      <w:pPr>
        <w:pStyle w:val="ListBullet"/>
        <w:widowControl/>
      </w:pPr>
      <w:r>
        <w:t>Remplacer toute donnée potentiellement nominative par des données fictives ou autorisées et anonymisées; identifier l’origine de chaque jeu.</w:t>
      </w:r>
    </w:p>
    <w:p>
      <w:pPr>
        <w:pStyle w:val="ListBullet"/>
        <w:widowControl/>
      </w:pPr>
      <w:r>
        <w:t>Préparer une séquence de démonstration reproductible : base PostgreSQL disponible, une seule instance backend sur 8080, frontend lancé avec npm run dev.</w:t>
      </w:r>
    </w:p>
    <w:p>
      <w:pPr>
        <w:pStyle w:val="ListBullet"/>
        <w:widowControl/>
      </w:pPr>
      <w:r>
        <w:t>Vérifier la recherche, la création d’une demande, la saisie d’historique admin, le calcul ou la non-calculabilité du score et le PDF.</w:t>
      </w:r>
    </w:p>
    <w:p>
      <w:pPr>
        <w:pStyle w:val="ListBullet"/>
        <w:widowControl/>
      </w:pPr>
      <w:r>
        <w:t>Aligner le cahier avec le produit : retirer l’import CSV si hors périmètre et décider quels filtres d’alertes seront montrés.</w:t>
      </w:r>
    </w:p>
    <w:p>
      <w:pPr>
        <w:pStyle w:val="ListBullet"/>
        <w:widowControl/>
      </w:pPr>
      <w:r>
        <w:t>Présenter explicitement le score comme expérimental et garder l’agent responsable de la décision.</w:t>
      </w:r>
    </w:p>
    <w:p>
      <w:pPr>
        <w:pStyle w:val="Heading2"/>
      </w:pPr>
      <w:r>
        <w:t>P1 — préparer un pilote interne encadré</w:t>
      </w:r>
    </w:p>
    <w:p>
      <w:pPr>
        <w:pStyle w:val="ListBullet"/>
        <w:widowControl/>
      </w:pPr>
      <w:r>
        <w:t>Obtenir la validation écrite des champs, statuts, catégories, motifs de clôture, devises, alertes et règles de calcul.</w:t>
      </w:r>
    </w:p>
    <w:p>
      <w:pPr>
        <w:pStyle w:val="ListBullet"/>
        <w:widowControl/>
      </w:pPr>
      <w:r>
        <w:t>Ajouter des tests métier et une fiche de scénarios avec résultats attendus.</w:t>
      </w:r>
    </w:p>
    <w:p>
      <w:pPr>
        <w:pStyle w:val="ListBullet"/>
        <w:widowControl/>
      </w:pPr>
      <w:r>
        <w:t>Mettre les migrations de base sous contrôle de version et documenter une mise à jour sans perte de données.</w:t>
      </w:r>
    </w:p>
    <w:p>
      <w:pPr>
        <w:pStyle w:val="ListBullet"/>
        <w:widowControl/>
      </w:pPr>
      <w:r>
        <w:t>Revoir l’authentification, la gestion des secrets, les origines CORS, l’audit, la sauvegarde et la restauration.</w:t>
      </w:r>
    </w:p>
    <w:p>
      <w:pPr>
        <w:pStyle w:val="ListBullet"/>
        <w:widowControl/>
      </w:pPr>
      <w:r>
        <w:t>Vérifier les règles de dédoublonnage, les montants incohérents, les échéances partielles et les données absentes.</w:t>
      </w:r>
    </w:p>
    <w:p>
      <w:pPr>
        <w:pStyle w:val="Heading2"/>
      </w:pPr>
      <w:r>
        <w:t>P2 — conditions d’une éventuelle mise en service</w:t>
      </w:r>
    </w:p>
    <w:p>
      <w:pPr>
        <w:pStyle w:val="ListBullet"/>
        <w:widowControl/>
      </w:pPr>
      <w:r>
        <w:t>Autorisation de traiter les données et définition des responsables de traitement, d’accès, de conservation et de suppression.</w:t>
      </w:r>
    </w:p>
    <w:p>
      <w:pPr>
        <w:pStyle w:val="ListBullet"/>
        <w:widowControl/>
      </w:pPr>
      <w:r>
        <w:t>Environnement hébergé et sécurisé, HTTPS, gestion des comptes, sauvegardes testées, supervision et procédure d’incident.</w:t>
      </w:r>
    </w:p>
    <w:p>
      <w:pPr>
        <w:pStyle w:val="ListBullet"/>
        <w:widowControl/>
      </w:pPr>
      <w:r>
        <w:t>Évaluation du score avec des données CECAM autorisées et représentatives, approbation métier et suivi périodique.</w:t>
      </w:r>
    </w:p>
    <w:p>
      <w:pPr>
        <w:pStyle w:val="ListBullet"/>
        <w:widowControl/>
      </w:pPr>
      <w:r>
        <w:t>Recette utilisateur par les agents de crédit, documentation de support et formation.</w:t>
      </w:r>
    </w:p>
    <w:p>
      <w:pPr>
        <w:pStyle w:val="Heading1"/>
      </w:pPr>
      <w:r>
        <w:t>11. Informations à obtenir pour finaliser le cahier</w:t>
      </w:r>
    </w:p>
    <w:p>
      <w:pPr>
        <w:widowControl/>
      </w:pPr>
      <w:r>
        <w:t>Les questions ci-dessous doivent être posées à l’encadreur et, lorsque cela est possible, à un référent crédit/risque CECAM. Les réponses qui ne sont pas disponibles doivent rester explicitement hors périmètre du prototype.</w:t>
      </w:r>
    </w:p>
    <w:tbl>
      <w:tblPr>
        <w:tblW w:type="auto" w:w="0"/>
        <w:jc w:val="center"/>
        <w:tblLayout w:type="fixed"/>
        <w:tblLook w:firstColumn="1" w:firstRow="1" w:lastColumn="0" w:lastRow="0" w:noHBand="0" w:noVBand="1" w:val="04A0"/>
        <w:tblBorders>
          <w:top w:val="single" w:sz="5" w:space="0" w:color="CDD5DB"/>
          <w:left w:val="single" w:sz="5" w:space="0" w:color="CDD5DB"/>
          <w:bottom w:val="single" w:sz="5" w:space="0" w:color="CDD5DB"/>
          <w:right w:val="single" w:sz="5" w:space="0" w:color="CDD5DB"/>
          <w:insideH w:val="single" w:sz="5" w:space="0" w:color="CDD5DB"/>
          <w:insideV w:val="single" w:sz="5" w:space="0" w:color="CDD5DB"/>
        </w:tblBorders>
      </w:tblPr>
      <w:tblGrid>
        <w:gridCol w:w="3213"/>
        <w:gridCol w:w="3213"/>
        <w:gridCol w:w="3213"/>
      </w:tblGrid>
      <w:tr>
        <w:trPr>
          <w:tblHeader w:val="true"/>
          <w:cantSplit/>
        </w:trPr>
        <w:tc>
          <w:tcPr>
            <w:tcW w:type="dxa" w:w="1656"/>
            <w:vAlign w:val="center"/>
            <w:tcMar>
              <w:top w:w="90" w:type="dxa"/>
              <w:start w:w="100" w:type="dxa"/>
              <w:bottom w:w="90" w:type="dxa"/>
              <w:end w:w="100" w:type="dxa"/>
            </w:tcMar>
            <w:shd w:fill="243746"/>
          </w:tcPr>
          <w:p>
            <w:pPr>
              <w:spacing w:after="0" w:line="240" w:lineRule="auto"/>
            </w:pPr>
            <w:r/>
            <w:r>
              <w:rPr>
                <w:rFonts w:ascii="Arial" w:hAnsi="Arial"/>
                <w:b/>
                <w:color w:val="FFFFFF"/>
                <w:sz w:val="15"/>
              </w:rPr>
              <w:t>Décision manquante</w:t>
            </w:r>
          </w:p>
        </w:tc>
        <w:tc>
          <w:tcPr>
            <w:tcW w:type="dxa" w:w="4392"/>
            <w:vAlign w:val="center"/>
            <w:tcMar>
              <w:top w:w="90" w:type="dxa"/>
              <w:start w:w="100" w:type="dxa"/>
              <w:bottom w:w="90" w:type="dxa"/>
              <w:end w:w="100" w:type="dxa"/>
            </w:tcMar>
            <w:shd w:fill="243746"/>
          </w:tcPr>
          <w:p>
            <w:pPr>
              <w:spacing w:after="0" w:line="240" w:lineRule="auto"/>
            </w:pPr>
            <w:r/>
            <w:r>
              <w:rPr>
                <w:rFonts w:ascii="Arial" w:hAnsi="Arial"/>
                <w:b/>
                <w:color w:val="FFFFFF"/>
                <w:sz w:val="15"/>
              </w:rPr>
              <w:t>Question à faire trancher</w:t>
            </w:r>
          </w:p>
        </w:tc>
        <w:tc>
          <w:tcPr>
            <w:tcW w:type="dxa" w:w="3456"/>
            <w:vAlign w:val="center"/>
            <w:tcMar>
              <w:top w:w="90" w:type="dxa"/>
              <w:start w:w="100" w:type="dxa"/>
              <w:bottom w:w="90" w:type="dxa"/>
              <w:end w:w="100" w:type="dxa"/>
            </w:tcMar>
            <w:shd w:fill="243746"/>
          </w:tcPr>
          <w:p>
            <w:pPr>
              <w:spacing w:after="0" w:line="240" w:lineRule="auto"/>
            </w:pPr>
            <w:r/>
            <w:r>
              <w:rPr>
                <w:rFonts w:ascii="Arial" w:hAnsi="Arial"/>
                <w:b/>
                <w:color w:val="FFFFFF"/>
                <w:sz w:val="15"/>
              </w:rPr>
              <w:t>Pourquoi c’est nécessaire</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Niveau de livraison</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Le résultat attendu est-il une démonstration de stage, un pilote interne ou une mise en service?</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Les exigences de sécurité, disponibilité, support et validation ne sont pas les mêmes.</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Usage du rapport</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Qui lit le rapport, à quel moment et quelle décision humaine doit-il éclairer?</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Définit les rubriques utiles et évite de laisser croire à une décision automatique.</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Règles de score</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Qui approuve les poids, seuils A–E, libellés de risque et raisons de non-calcul?</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Les exemples de rapports ne révèlent pas la méthode complète ni sa performance.</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Cible de risque</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Quel événement est considéré comme défaut ou retard, sur quelle période et pour quel type de prêt?</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Sans cible mesurable, il n’est pas possible de calibrer ou valider un score prédictif.</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Données autorisées</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Quelles sources peuvent être consultées ou transcrites, avec quel niveau d’anonymisation?</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Conditionne les jeux de test et tout rapprochement de clients.</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Référentiels</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Quelles valeurs officielles utiliser pour phases, catégories, devises, périodicités, motifs de clôture et agences?</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Évite des listes contradictoires entre formulaires, API et rapports.</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Historique mensuel</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Quelles informations sont garanties par mois : statut, nombre de retards, jours, montants ou date?</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Empêche de transformer une observation partielle en échéancier inventé.</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Alertes</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Quels filtres, seuils, niveaux, destinataires et types de téléchargement sont attendus?</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L’API actuelle ne porte pas encore tous les critères décrits dans le cahier source.</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Rôles et confidentialité</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Qui peut consulter, saisir, corriger, exporter et supprimer; combien de temps garder les traces?</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Permet de spécifier les droits et les règles de conservation.</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Acceptation</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Quels scénarios et résultats l’encadreur ou les agents utiliseront-ils pour accepter le prototype?</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Donne une définition vérifiable de « complet » pour le stage.</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5"/>
              </w:rPr>
              <w:t>Environnement</w:t>
            </w:r>
          </w:p>
        </w:tc>
        <w:tc>
          <w:tcPr>
            <w:tcW w:type="dxa" w:w="4392"/>
            <w:vAlign w:val="center"/>
            <w:tcMar>
              <w:top w:w="90" w:type="dxa"/>
              <w:start w:w="100" w:type="dxa"/>
              <w:bottom w:w="90" w:type="dxa"/>
              <w:end w:w="100" w:type="dxa"/>
            </w:tcMar>
          </w:tcPr>
          <w:p>
            <w:pPr>
              <w:spacing w:after="0" w:line="240" w:lineRule="auto"/>
            </w:pPr>
            <w:r/>
            <w:r>
              <w:rPr>
                <w:rFonts w:ascii="Arial" w:hAnsi="Arial"/>
                <w:b w:val="0"/>
                <w:color w:val="000000"/>
                <w:sz w:val="15"/>
              </w:rPr>
              <w:t>Le projet restera-t-il local? Si non, où sera-t-il hébergé et combien d’utilisateurs l’utiliseront?</w:t>
            </w:r>
          </w:p>
        </w:tc>
        <w:tc>
          <w:tcPr>
            <w:tcW w:type="dxa" w:w="3456"/>
            <w:vAlign w:val="center"/>
            <w:tcMar>
              <w:top w:w="90" w:type="dxa"/>
              <w:start w:w="100" w:type="dxa"/>
              <w:bottom w:w="90" w:type="dxa"/>
              <w:end w:w="100" w:type="dxa"/>
            </w:tcMar>
          </w:tcPr>
          <w:p>
            <w:pPr>
              <w:spacing w:after="0" w:line="240" w:lineRule="auto"/>
            </w:pPr>
            <w:r/>
            <w:r>
              <w:rPr>
                <w:rFonts w:ascii="Arial" w:hAnsi="Arial"/>
                <w:b w:val="0"/>
                <w:color w:val="000000"/>
                <w:sz w:val="15"/>
              </w:rPr>
              <w:t>Détermine réseau, sauvegardes, disponibilité, sécurité et support.</w:t>
            </w:r>
          </w:p>
        </w:tc>
      </w:tr>
    </w:tbl>
    <w:p>
      <w:pPr>
        <w:spacing w:after="20"/>
      </w:pPr>
    </w:p>
    <w:p>
      <w:pPr>
        <w:pStyle w:val="Heading1"/>
      </w:pPr>
      <w:r>
        <w:t>12. Éléments à conserver, simplifier ou retirer</w:t>
      </w:r>
    </w:p>
    <w:tbl>
      <w:tblPr>
        <w:tblW w:type="auto" w:w="0"/>
        <w:jc w:val="center"/>
        <w:tblLayout w:type="fixed"/>
        <w:tblLook w:firstColumn="1" w:firstRow="1" w:lastColumn="0" w:lastRow="0" w:noHBand="0" w:noVBand="1" w:val="04A0"/>
        <w:tblBorders>
          <w:top w:val="single" w:sz="5" w:space="0" w:color="CDD5DB"/>
          <w:left w:val="single" w:sz="5" w:space="0" w:color="CDD5DB"/>
          <w:bottom w:val="single" w:sz="5" w:space="0" w:color="CDD5DB"/>
          <w:right w:val="single" w:sz="5" w:space="0" w:color="CDD5DB"/>
          <w:insideH w:val="single" w:sz="5" w:space="0" w:color="CDD5DB"/>
          <w:insideV w:val="single" w:sz="5" w:space="0" w:color="CDD5DB"/>
        </w:tblBorders>
      </w:tblPr>
      <w:tblGrid>
        <w:gridCol w:w="3213"/>
        <w:gridCol w:w="3213"/>
        <w:gridCol w:w="3213"/>
      </w:tblGrid>
      <w:tr>
        <w:trPr>
          <w:tblHeader w:val="true"/>
          <w:cantSplit/>
        </w:trPr>
        <w:tc>
          <w:tcPr>
            <w:tcW w:type="dxa" w:w="1656"/>
            <w:vAlign w:val="center"/>
            <w:tcMar>
              <w:top w:w="90" w:type="dxa"/>
              <w:start w:w="100" w:type="dxa"/>
              <w:bottom w:w="90" w:type="dxa"/>
              <w:end w:w="100" w:type="dxa"/>
            </w:tcMar>
            <w:shd w:fill="243746"/>
          </w:tcPr>
          <w:p>
            <w:pPr>
              <w:spacing w:after="0" w:line="240" w:lineRule="auto"/>
            </w:pPr>
            <w:r/>
            <w:r>
              <w:rPr>
                <w:rFonts w:ascii="Arial" w:hAnsi="Arial"/>
                <w:b/>
                <w:color w:val="FFFFFF"/>
                <w:sz w:val="16"/>
              </w:rPr>
              <w:t>Action</w:t>
            </w:r>
          </w:p>
        </w:tc>
        <w:tc>
          <w:tcPr>
            <w:tcW w:type="dxa" w:w="3672"/>
            <w:vAlign w:val="center"/>
            <w:tcMar>
              <w:top w:w="90" w:type="dxa"/>
              <w:start w:w="100" w:type="dxa"/>
              <w:bottom w:w="90" w:type="dxa"/>
              <w:end w:w="100" w:type="dxa"/>
            </w:tcMar>
            <w:shd w:fill="243746"/>
          </w:tcPr>
          <w:p>
            <w:pPr>
              <w:spacing w:after="0" w:line="240" w:lineRule="auto"/>
            </w:pPr>
            <w:r/>
            <w:r>
              <w:rPr>
                <w:rFonts w:ascii="Arial" w:hAnsi="Arial"/>
                <w:b/>
                <w:color w:val="FFFFFF"/>
                <w:sz w:val="16"/>
              </w:rPr>
              <w:t>Éléments concernés</w:t>
            </w:r>
          </w:p>
        </w:tc>
        <w:tc>
          <w:tcPr>
            <w:tcW w:type="dxa" w:w="4176"/>
            <w:vAlign w:val="center"/>
            <w:tcMar>
              <w:top w:w="90" w:type="dxa"/>
              <w:start w:w="100" w:type="dxa"/>
              <w:bottom w:w="90" w:type="dxa"/>
              <w:end w:w="100" w:type="dxa"/>
            </w:tcMar>
            <w:shd w:fill="243746"/>
          </w:tcPr>
          <w:p>
            <w:pPr>
              <w:spacing w:after="0" w:line="240" w:lineRule="auto"/>
            </w:pPr>
            <w:r/>
            <w:r>
              <w:rPr>
                <w:rFonts w:ascii="Arial" w:hAnsi="Arial"/>
                <w:b/>
                <w:color w:val="FFFFFF"/>
                <w:sz w:val="16"/>
              </w:rPr>
              <w:t>Motif</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6"/>
              </w:rPr>
              <w:t>Conserver</w:t>
            </w:r>
          </w:p>
        </w:tc>
        <w:tc>
          <w:tcPr>
            <w:tcW w:type="dxa" w:w="3672"/>
            <w:vAlign w:val="center"/>
            <w:tcMar>
              <w:top w:w="90" w:type="dxa"/>
              <w:start w:w="100" w:type="dxa"/>
              <w:bottom w:w="90" w:type="dxa"/>
              <w:end w:w="100" w:type="dxa"/>
            </w:tcMar>
          </w:tcPr>
          <w:p>
            <w:pPr>
              <w:spacing w:after="0" w:line="240" w:lineRule="auto"/>
            </w:pPr>
            <w:r/>
            <w:r>
              <w:rPr>
                <w:rFonts w:ascii="Arial" w:hAnsi="Arial"/>
                <w:b w:val="0"/>
                <w:color w:val="000000"/>
                <w:sz w:val="16"/>
              </w:rPr>
              <w:t>Périmètre individuel, saisie d’historique admin, provenance des données, séparation des observations mensuelles et échéances datées, tranches de retard, audit.</w:t>
            </w:r>
          </w:p>
        </w:tc>
        <w:tc>
          <w:tcPr>
            <w:tcW w:type="dxa" w:w="4176"/>
            <w:vAlign w:val="center"/>
            <w:tcMar>
              <w:top w:w="90" w:type="dxa"/>
              <w:start w:w="100" w:type="dxa"/>
              <w:bottom w:w="90" w:type="dxa"/>
              <w:end w:w="100" w:type="dxa"/>
            </w:tcMar>
          </w:tcPr>
          <w:p>
            <w:pPr>
              <w:spacing w:after="0" w:line="240" w:lineRule="auto"/>
            </w:pPr>
            <w:r/>
            <w:r>
              <w:rPr>
                <w:rFonts w:ascii="Arial" w:hAnsi="Arial"/>
                <w:b w:val="0"/>
                <w:color w:val="000000"/>
                <w:sz w:val="16"/>
              </w:rPr>
              <w:t>Ce sont les éléments qui rendent l’analyse traçable et cohérente avec les limites des sources.</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6"/>
              </w:rPr>
              <w:t>Ajouter</w:t>
            </w:r>
          </w:p>
        </w:tc>
        <w:tc>
          <w:tcPr>
            <w:tcW w:type="dxa" w:w="3672"/>
            <w:vAlign w:val="center"/>
            <w:tcMar>
              <w:top w:w="90" w:type="dxa"/>
              <w:start w:w="100" w:type="dxa"/>
              <w:bottom w:w="90" w:type="dxa"/>
              <w:end w:w="100" w:type="dxa"/>
            </w:tcMar>
          </w:tcPr>
          <w:p>
            <w:pPr>
              <w:spacing w:after="0" w:line="240" w:lineRule="auto"/>
            </w:pPr>
            <w:r/>
            <w:r>
              <w:rPr>
                <w:rFonts w:ascii="Arial" w:hAnsi="Arial"/>
                <w:b w:val="0"/>
                <w:color w:val="000000"/>
                <w:sz w:val="16"/>
              </w:rPr>
              <w:t>Décisions métier validées, jeux de test anonymisés, tests métier, migrations contrôlées, version du score, critères d’acceptation et procédure de sauvegarde.</w:t>
            </w:r>
          </w:p>
        </w:tc>
        <w:tc>
          <w:tcPr>
            <w:tcW w:type="dxa" w:w="4176"/>
            <w:vAlign w:val="center"/>
            <w:tcMar>
              <w:top w:w="90" w:type="dxa"/>
              <w:start w:w="100" w:type="dxa"/>
              <w:bottom w:w="90" w:type="dxa"/>
              <w:end w:w="100" w:type="dxa"/>
            </w:tcMar>
          </w:tcPr>
          <w:p>
            <w:pPr>
              <w:spacing w:after="0" w:line="240" w:lineRule="auto"/>
            </w:pPr>
            <w:r/>
            <w:r>
              <w:rPr>
                <w:rFonts w:ascii="Arial" w:hAnsi="Arial"/>
                <w:b w:val="0"/>
                <w:color w:val="000000"/>
                <w:sz w:val="16"/>
              </w:rPr>
              <w:t>Ces éléments rendent le prototype vérifiable et préparent une évolution responsable.</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6"/>
              </w:rPr>
              <w:t>Retirer du cahier</w:t>
            </w:r>
          </w:p>
        </w:tc>
        <w:tc>
          <w:tcPr>
            <w:tcW w:type="dxa" w:w="3672"/>
            <w:vAlign w:val="center"/>
            <w:tcMar>
              <w:top w:w="90" w:type="dxa"/>
              <w:start w:w="100" w:type="dxa"/>
              <w:bottom w:w="90" w:type="dxa"/>
              <w:end w:w="100" w:type="dxa"/>
            </w:tcMar>
          </w:tcPr>
          <w:p>
            <w:pPr>
              <w:spacing w:after="0" w:line="240" w:lineRule="auto"/>
            </w:pPr>
            <w:r/>
            <w:r>
              <w:rPr>
                <w:rFonts w:ascii="Arial" w:hAnsi="Arial"/>
                <w:b w:val="0"/>
                <w:color w:val="000000"/>
                <w:sz w:val="16"/>
              </w:rPr>
              <w:t>Consignes de reprise de session, instructions destinées à un assistant, anciens états de correctifs et listes de chemins de code sans valeur métier.</w:t>
            </w:r>
          </w:p>
        </w:tc>
        <w:tc>
          <w:tcPr>
            <w:tcW w:type="dxa" w:w="4176"/>
            <w:vAlign w:val="center"/>
            <w:tcMar>
              <w:top w:w="90" w:type="dxa"/>
              <w:start w:w="100" w:type="dxa"/>
              <w:bottom w:w="90" w:type="dxa"/>
              <w:end w:w="100" w:type="dxa"/>
            </w:tcMar>
          </w:tcPr>
          <w:p>
            <w:pPr>
              <w:spacing w:after="0" w:line="240" w:lineRule="auto"/>
            </w:pPr>
            <w:r/>
            <w:r>
              <w:rPr>
                <w:rFonts w:ascii="Arial" w:hAnsi="Arial"/>
                <w:b w:val="0"/>
                <w:color w:val="000000"/>
                <w:sz w:val="16"/>
              </w:rPr>
              <w:t>Un cahier pour l’encadreur doit décrire le besoin et les décisions, pas la conduite d’une session de développement.</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6"/>
              </w:rPr>
              <w:t>Retirer des exemples</w:t>
            </w:r>
          </w:p>
        </w:tc>
        <w:tc>
          <w:tcPr>
            <w:tcW w:type="dxa" w:w="3672"/>
            <w:vAlign w:val="center"/>
            <w:tcMar>
              <w:top w:w="90" w:type="dxa"/>
              <w:start w:w="100" w:type="dxa"/>
              <w:bottom w:w="90" w:type="dxa"/>
              <w:end w:w="100" w:type="dxa"/>
            </w:tcMar>
          </w:tcPr>
          <w:p>
            <w:pPr>
              <w:spacing w:after="0" w:line="240" w:lineRule="auto"/>
            </w:pPr>
            <w:r/>
            <w:r>
              <w:rPr>
                <w:rFonts w:ascii="Arial" w:hAnsi="Arial"/>
                <w:b w:val="0"/>
                <w:color w:val="000000"/>
                <w:sz w:val="16"/>
              </w:rPr>
              <w:t>Noms, CIN, codes clients, montants et extraits nominatifs des rapports de référence.</w:t>
            </w:r>
          </w:p>
        </w:tc>
        <w:tc>
          <w:tcPr>
            <w:tcW w:type="dxa" w:w="4176"/>
            <w:vAlign w:val="center"/>
            <w:tcMar>
              <w:top w:w="90" w:type="dxa"/>
              <w:start w:w="100" w:type="dxa"/>
              <w:bottom w:w="90" w:type="dxa"/>
              <w:end w:w="100" w:type="dxa"/>
            </w:tcMar>
          </w:tcPr>
          <w:p>
            <w:pPr>
              <w:spacing w:after="0" w:line="240" w:lineRule="auto"/>
            </w:pPr>
            <w:r/>
            <w:r>
              <w:rPr>
                <w:rFonts w:ascii="Arial" w:hAnsi="Arial"/>
                <w:b w:val="0"/>
                <w:color w:val="000000"/>
                <w:sz w:val="16"/>
              </w:rPr>
              <w:t>Ces données ne sont pas nécessaires pour expliquer les exigences et doivent rester confidentielles.</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6"/>
              </w:rPr>
              <w:t>Retirer ou décider</w:t>
            </w:r>
          </w:p>
        </w:tc>
        <w:tc>
          <w:tcPr>
            <w:tcW w:type="dxa" w:w="3672"/>
            <w:vAlign w:val="center"/>
            <w:tcMar>
              <w:top w:w="90" w:type="dxa"/>
              <w:start w:w="100" w:type="dxa"/>
              <w:bottom w:w="90" w:type="dxa"/>
              <w:end w:w="100" w:type="dxa"/>
            </w:tcMar>
          </w:tcPr>
          <w:p>
            <w:pPr>
              <w:spacing w:after="0" w:line="240" w:lineRule="auto"/>
            </w:pPr>
            <w:r/>
            <w:r>
              <w:rPr>
                <w:rFonts w:ascii="Arial" w:hAnsi="Arial"/>
                <w:b w:val="0"/>
                <w:color w:val="000000"/>
                <w:sz w:val="16"/>
              </w:rPr>
              <w:t>Import CSV de clients, envoi de courriel, BIC Entreprise et apprentissage automatique.</w:t>
            </w:r>
          </w:p>
        </w:tc>
        <w:tc>
          <w:tcPr>
            <w:tcW w:type="dxa" w:w="4176"/>
            <w:vAlign w:val="center"/>
            <w:tcMar>
              <w:top w:w="90" w:type="dxa"/>
              <w:start w:w="100" w:type="dxa"/>
              <w:bottom w:w="90" w:type="dxa"/>
              <w:end w:w="100" w:type="dxa"/>
            </w:tcMar>
          </w:tcPr>
          <w:p>
            <w:pPr>
              <w:spacing w:after="0" w:line="240" w:lineRule="auto"/>
            </w:pPr>
            <w:r/>
            <w:r>
              <w:rPr>
                <w:rFonts w:ascii="Arial" w:hAnsi="Arial"/>
                <w:b w:val="0"/>
                <w:color w:val="000000"/>
                <w:sz w:val="16"/>
              </w:rPr>
              <w:t>Ces fonctions dépassent le MVP actuel ou manquent de source, de règles ou de données validées.</w:t>
            </w:r>
          </w:p>
        </w:tc>
      </w:tr>
      <w:tr>
        <w:trPr>
          <w:cantSplit/>
        </w:trPr>
        <w:tc>
          <w:tcPr>
            <w:tcW w:type="dxa" w:w="1656"/>
            <w:vAlign w:val="center"/>
            <w:tcMar>
              <w:top w:w="90" w:type="dxa"/>
              <w:start w:w="100" w:type="dxa"/>
              <w:bottom w:w="90" w:type="dxa"/>
              <w:end w:w="100" w:type="dxa"/>
            </w:tcMar>
            <w:shd w:fill="F3F6F8"/>
          </w:tcPr>
          <w:p>
            <w:pPr>
              <w:spacing w:after="0" w:line="240" w:lineRule="auto"/>
            </w:pPr>
            <w:r/>
            <w:r>
              <w:rPr>
                <w:rFonts w:ascii="Arial" w:hAnsi="Arial"/>
                <w:b/>
                <w:color w:val="000000"/>
                <w:sz w:val="16"/>
              </w:rPr>
              <w:t>Remplacer</w:t>
            </w:r>
          </w:p>
        </w:tc>
        <w:tc>
          <w:tcPr>
            <w:tcW w:type="dxa" w:w="3672"/>
            <w:vAlign w:val="center"/>
            <w:tcMar>
              <w:top w:w="90" w:type="dxa"/>
              <w:start w:w="100" w:type="dxa"/>
              <w:bottom w:w="90" w:type="dxa"/>
              <w:end w:w="100" w:type="dxa"/>
            </w:tcMar>
          </w:tcPr>
          <w:p>
            <w:pPr>
              <w:spacing w:after="0" w:line="240" w:lineRule="auto"/>
            </w:pPr>
            <w:r/>
            <w:r>
              <w:rPr>
                <w:rFonts w:ascii="Arial" w:hAnsi="Arial"/>
                <w:b w:val="0"/>
                <w:color w:val="000000"/>
                <w:sz w:val="16"/>
              </w:rPr>
              <w:t>Procédure DROP DATABASE et affirmations de reproduction fidèle ou de score fiable.</w:t>
            </w:r>
          </w:p>
        </w:tc>
        <w:tc>
          <w:tcPr>
            <w:tcW w:type="dxa" w:w="4176"/>
            <w:vAlign w:val="center"/>
            <w:tcMar>
              <w:top w:w="90" w:type="dxa"/>
              <w:start w:w="100" w:type="dxa"/>
              <w:bottom w:w="90" w:type="dxa"/>
              <w:end w:w="100" w:type="dxa"/>
            </w:tcMar>
          </w:tcPr>
          <w:p>
            <w:pPr>
              <w:spacing w:after="0" w:line="240" w:lineRule="auto"/>
            </w:pPr>
            <w:r/>
            <w:r>
              <w:rPr>
                <w:rFonts w:ascii="Arial" w:hAnsi="Arial"/>
                <w:b w:val="0"/>
                <w:color w:val="000000"/>
                <w:sz w:val="16"/>
              </w:rPr>
              <w:t>Utiliser des migrations sauvegardées; présenter les limites et le niveau réel de validation.</w:t>
            </w:r>
          </w:p>
        </w:tc>
      </w:tr>
    </w:tbl>
    <w:p>
      <w:pPr>
        <w:spacing w:after="20"/>
      </w:pPr>
    </w:p>
    <w:p>
      <w:pPr>
        <w:pStyle w:val="Heading1"/>
      </w:pPr>
      <w:r>
        <w:t>13. Critères d’acceptation du prototype de stage</w:t>
      </w:r>
    </w:p>
    <w:p>
      <w:pPr>
        <w:pStyle w:val="ListBullet"/>
        <w:widowControl/>
      </w:pPr>
      <w:r>
        <w:t>L’application se lance de façon reproductible avec PostgreSQL disponible; le journal confirme le démarrage complet du serveur.</w:t>
      </w:r>
    </w:p>
    <w:p>
      <w:pPr>
        <w:pStyle w:val="ListBullet"/>
        <w:widowControl/>
      </w:pPr>
      <w:r>
        <w:t>Un agent peut rechercher ou créer un client de démonstration, saisir une demande, consulter la synthèse et récupérer le PDF.</w:t>
      </w:r>
    </w:p>
    <w:p>
      <w:pPr>
        <w:pStyle w:val="ListBullet"/>
        <w:widowControl/>
      </w:pPr>
      <w:r>
        <w:t>Un compte non administrateur ne peut ni saisir ni modifier l’historique; l’API refuse également ces actions.</w:t>
      </w:r>
    </w:p>
    <w:p>
      <w:pPr>
        <w:pStyle w:val="ListBullet"/>
        <w:widowControl/>
      </w:pPr>
      <w:r>
        <w:t>Les échéances exactes et les observations mensuelles restent distinctes; les montants restent séparés par devise.</w:t>
      </w:r>
    </w:p>
    <w:p>
      <w:pPr>
        <w:pStyle w:val="ListBullet"/>
        <w:widowControl/>
      </w:pPr>
      <w:r>
        <w:t>Les tranches de retard et les totaux sont vérifiés sur des scénarios de test anonymisés avec résultats attendus.</w:t>
      </w:r>
    </w:p>
    <w:p>
      <w:pPr>
        <w:pStyle w:val="ListBullet"/>
        <w:widowControl/>
      </w:pPr>
      <w:r>
        <w:t>Le score s’affiche uniquement lorsqu’il est calculable; son caractère expérimental et l’absence de décision automatique sont explicites.</w:t>
      </w:r>
    </w:p>
    <w:p>
      <w:pPr>
        <w:pStyle w:val="ListBullet"/>
        <w:widowControl/>
      </w:pPr>
      <w:r>
        <w:t>Aucune donnée nominative issue des rapports n’apparaît dans le cahier, les jeux d’exemple, les journaux ou les captures de soutenance.</w:t>
      </w:r>
    </w:p>
    <w:p>
      <w:pPr>
        <w:pStyle w:val="ListBullet"/>
        <w:widowControl/>
      </w:pPr>
      <w:r>
        <w:t>Les filtres d’alertes et la présence de l’import CSV sont décidés et le cahier décrit le même comportement que l’application.</w:t>
      </w:r>
    </w:p>
    <w:p>
      <w:pPr>
        <w:pStyle w:val="Heading1"/>
      </w:pPr>
      <w:r>
        <w:t>14. Conclusion pour la présentation</w:t>
      </w:r>
    </w:p>
    <w:p>
      <w:pPr>
        <w:widowControl/>
      </w:pPr>
      <w:r>
        <w:t>Le projet peut être présenté comme un prototype interne qui organise des données de dossier et produit une synthèse destinée à l’agent de crédit. Sa valeur de démonstration dépend d’un parcours stable, de données d’essai maîtrisées et d’un rapport transparent sur les informations manquantes.</w:t>
      </w:r>
    </w:p>
    <w:p>
      <w:pPr>
        <w:widowControl/>
      </w:pPr>
      <w:r>
        <w:t>La prochaine validation attendue de l’encadreur est le périmètre exact de la soutenance et les critères d’acceptation. Une validation métier CECAM est nécessaire pour les champs, les règles d’alerte et le score. Toute mise en service exige en plus une autorisation de données, une validation de sécurité et une évaluation du score qui ne peuvent pas être déduites des seuls rapports CRIF.</w:t>
      </w:r>
    </w:p>
    <w:sectPr w:rsidR="00FC693F" w:rsidRPr="0006063C" w:rsidSect="00034616">
      <w:footerReference w:type="default" r:id="rId9"/>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5636D"/>
        <w:sz w:val="16"/>
      </w:rPr>
      <w:t>BIC CECAM  |  Cahier des charges révisé  |  9 octobre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contextualSpacing/>
    </w:pPr>
    <w:rPr>
      <w:rFonts w:ascii="Arial" w:hAnsi="Arial" w:eastAsia="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0" w:lineRule="auto"/>
      <w:contextualSpacing/>
    </w:pPr>
    <w:rPr>
      <w:rFonts w:ascii="Arial" w:hAnsi="Arial" w:eastAsia="Arial"/>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BIC CECAM</dc:title>
  <dc:subject>Prototype interne d’aide à l’analyse de dossiers individuels</dc:subject>
  <dc:creator/>
  <cp:keywords>BIC CECAM, cahier des charges, prototype, scoring</cp:keywords>
  <dc:description/>
  <cp:lastModifiedBy/>
  <cp:revision>1</cp:revision>
  <dcterms:created xsi:type="dcterms:W3CDTF">2013-12-23T23:15:00Z</dcterms:created>
  <dcterms:modified xsi:type="dcterms:W3CDTF">2013-12-23T23:15:00Z</dcterms:modified>
  <cp:category/>
</cp:coreProperties>
</file>