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br/>
        <w:br/>
        <w:br/>
        <w:t>[ ESPACE RÉSERVÉ AU LOGO ]</w:t>
        <w:br/>
        <w:br/>
      </w:r>
    </w:p>
    <w:p>
      <w:pPr>
        <w:jc w:val="center"/>
      </w:pPr>
      <w:r>
        <w:rPr>
          <w:b/>
          <w:color w:val="1F4E79"/>
          <w:sz w:val="52"/>
        </w:rPr>
        <w:t>DSS V2 - Demande de Sortie de Stock</w:t>
      </w:r>
    </w:p>
    <w:p>
      <w:pPr>
        <w:jc w:val="center"/>
      </w:pPr>
      <w:r>
        <w:rPr>
          <w:color w:val="2E75B6"/>
          <w:sz w:val="36"/>
        </w:rPr>
        <w:t>Partie 3 — Intégration et maintenance</w:t>
      </w:r>
    </w:p>
    <w:p>
      <w:pPr>
        <w:jc w:val="center"/>
      </w:pPr>
      <w:r>
        <w:rPr>
          <w:sz w:val="24"/>
        </w:rPr>
        <w:t>Documentation technique — 29/10/2026</w:t>
      </w:r>
    </w:p>
    <w:p>
      <w:r>
        <w:br w:type="page"/>
      </w:r>
    </w:p>
    <w:p>
      <w:pPr>
        <w:pStyle w:val="Heading1"/>
        <w:spacing w:after="160"/>
      </w:pPr>
      <w:r>
        <w:t>Table des matières</w:t>
      </w:r>
    </w:p>
    <w:p>
      <w:r>
        <w:fldChar w:fldCharType="begin"/>
        <w:instrText xml:space="preserve">TOC \o "1-3" \h \z \u</w:instrText>
        <w:fldChar w:fldCharType="separate"/>
        <w:fldChar w:fldCharType="end"/>
      </w:r>
      <w:r>
        <w:br/>
        <w:t>(Mettez à jour la table dans Word avec clic droit → Mettre à jour les champs.)</w:t>
      </w:r>
    </w:p>
    <w:p>
      <w:r>
        <w:br w:type="page"/>
      </w:r>
    </w:p>
    <w:p>
      <w:pPr>
        <w:pStyle w:val="Heading1"/>
      </w:pPr>
      <w:r>
        <w:t>00 Stock</w:t>
      </w:r>
    </w:p>
    <w:p>
      <w:pPr>
        <w:pStyle w:val="Heading1"/>
      </w:pPr>
      <w:r>
        <w:t>Intégration avec Stock</w:t>
      </w:r>
    </w:p>
    <w:p>
      <w:pPr>
        <w:pStyle w:val="Heading2"/>
      </w:pPr>
      <w:r>
        <w:t>1. Modèles Odoo utilisés</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Modèle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Rôle dans le code DSS</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product.product</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Article de la ligne DSS et unité de mesure du mouvement.</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stock.quant</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Quantité qty agrégée pour le contrôle de sortie et de transfert.</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stock.location</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Emplacement source, destination interne ou emplacement client.</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stock.picking.type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Type de picking recherché par code.</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stock.picking</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En-tête du transfert créé.</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stock.move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Mouvement associé à chaque ligne traitée.</w:t>
            </w:r>
          </w:p>
        </w:tc>
      </w:tr>
    </w:tbl>
    <w:p>
      <w:pPr>
        <w:pStyle w:val="Heading2"/>
      </w:pPr>
      <w:r>
        <w:t>2. Types de picking dans le workflow principal</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Code Odoo recherché</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Sens DSS</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Emplacements</w:t>
            </w:r>
          </w:p>
        </w:tc>
      </w:tr>
      <w:tr>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outgoing</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Sortie</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location_id vers l'emplacement client du partenaire ou le repli standard.</w:t>
            </w:r>
          </w:p>
        </w:tc>
      </w:tr>
      <w:tr>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incoming</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Entrée</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Emplacement client vers location_id .</w:t>
            </w:r>
          </w:p>
        </w:tc>
      </w:tr>
      <w:tr>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internal</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Transfert</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location_id vers location_dest_id .</w:t>
            </w:r>
          </w:p>
        </w:tc>
      </w:tr>
    </w:tbl>
    <w:p>
      <w:r>
        <w:t xml:space="preserve">Le code effectue une recherche </w:t>
      </w:r>
      <w:r>
        <w:rPr>
          <w:rFonts w:ascii="Courier New" w:hAnsi="Courier New"/>
          <w:sz w:val="18"/>
        </w:rPr>
        <w:t>limit=1</w:t>
      </w:r>
      <w:r>
        <w:t xml:space="preserve"> par code de picking; il ne filtre pas la recherche sur un entrepôt ou une société dans les méthodes présentées.</w:t>
      </w:r>
    </w:p>
    <w:p>
      <w:pPr>
        <w:pStyle w:val="Heading2"/>
      </w:pPr>
      <w:r>
        <w:t>3. Contrôle de stock et cycle</w:t>
      </w:r>
    </w:p>
    <w:p>
      <w:r>
        <w:t xml:space="preserve">Les méthodes de sortie et de transfert agrègent </w:t>
      </w:r>
      <w:r>
        <w:rPr>
          <w:rFonts w:ascii="Courier New" w:hAnsi="Courier New"/>
          <w:sz w:val="18"/>
        </w:rPr>
        <w:t>stock.quant.qty</w:t>
      </w:r>
      <w:r>
        <w:t xml:space="preserve"> par produit et emplacement, puis lèvent </w:t>
      </w:r>
      <w:r>
        <w:rPr>
          <w:rFonts w:ascii="Courier New" w:hAnsi="Courier New"/>
          <w:sz w:val="18"/>
        </w:rPr>
        <w:t>ValidationError</w:t>
      </w:r>
      <w:r>
        <w:t xml:space="preserve"> si </w:t>
      </w:r>
      <w:r>
        <w:rPr>
          <w:rFonts w:ascii="Courier New" w:hAnsi="Courier New"/>
          <w:sz w:val="18"/>
        </w:rPr>
        <w:t>qty_sortie</w:t>
      </w:r>
      <w:r>
        <w:t xml:space="preserve"> dépasse la valeur obtenue. Le mouvement entrant utilise </w:t>
      </w:r>
      <w:r>
        <w:rPr>
          <w:rFonts w:ascii="Courier New" w:hAnsi="Courier New"/>
          <w:sz w:val="18"/>
        </w:rPr>
        <w:t>qty_retour</w:t>
      </w:r>
      <w:r>
        <w:t xml:space="preserve"> et ne fait pas ce contrôle de disponibilité.</w:t>
      </w:r>
    </w:p>
    <w:p>
      <w:r>
        <w:drawing>
          <wp:inline xmlns:a="http://schemas.openxmlformats.org/drawingml/2006/main" xmlns:pic="http://schemas.openxmlformats.org/drawingml/2006/picture">
            <wp:extent cx="5303520" cy="239309"/>
            <wp:docPr id="1" name="Picture 1"/>
            <wp:cNvGraphicFramePr>
              <a:graphicFrameLocks noChangeAspect="1"/>
            </wp:cNvGraphicFramePr>
            <a:graphic>
              <a:graphicData uri="http://schemas.openxmlformats.org/drawingml/2006/picture">
                <pic:pic>
                  <pic:nvPicPr>
                    <pic:cNvPr id="0" name="diagram.png"/>
                    <pic:cNvPicPr/>
                  </pic:nvPicPr>
                  <pic:blipFill>
                    <a:blip r:embed="rId9"/>
                    <a:stretch>
                      <a:fillRect/>
                    </a:stretch>
                  </pic:blipFill>
                  <pic:spPr>
                    <a:xfrm>
                      <a:off x="0" y="0"/>
                      <a:ext cx="5303520" cy="239309"/>
                    </a:xfrm>
                    <a:prstGeom prst="rect"/>
                  </pic:spPr>
                </pic:pic>
              </a:graphicData>
            </a:graphic>
          </wp:inline>
        </w:drawing>
      </w:r>
    </w:p>
    <w:p>
      <w:pPr>
        <w:pStyle w:val="Heading2"/>
      </w:pPr>
      <w:r>
        <w:t>4. Workflow DSS parallèle sur stock.picking</w:t>
      </w:r>
    </w:p>
    <w:p>
      <w:r>
        <w:rPr>
          <w:rFonts w:ascii="Courier New" w:hAnsi="Courier New"/>
          <w:sz w:val="18"/>
        </w:rPr>
        <w:t>models/stock_picking.py</w:t>
      </w:r>
      <w:r>
        <w:t xml:space="preserve"> ajoute des champs DSS et des méthodes de validation au modèle standard. Ce parcours est distinct des transitions de </w:t>
      </w:r>
      <w:r>
        <w:rPr>
          <w:rFonts w:ascii="Courier New" w:hAnsi="Courier New"/>
          <w:sz w:val="18"/>
        </w:rPr>
        <w:t>dss.request</w:t>
      </w:r>
      <w:r>
        <w:t xml:space="preserve"> et aucun fichier de vue stock spécifique n'est déclaré dans le manifeste.</w:t>
      </w:r>
    </w:p>
    <w:p>
      <w:r>
        <w:t xml:space="preserve">Deux incohérences sont directement visibles dans le code : </w:t>
      </w:r>
      <w:r>
        <w:rPr>
          <w:rFonts w:ascii="Courier New" w:hAnsi="Courier New"/>
          <w:sz w:val="18"/>
        </w:rPr>
        <w:t>action_soumettre_dss()</w:t>
      </w:r>
      <w:r>
        <w:t xml:space="preserve"> écrit la valeur </w:t>
      </w:r>
      <w:r>
        <w:rPr>
          <w:rFonts w:ascii="Courier New" w:hAnsi="Courier New"/>
          <w:sz w:val="18"/>
        </w:rPr>
        <w:t>soumis</w:t>
      </w:r>
      <w:r>
        <w:t xml:space="preserve">, absente de la sélection </w:t>
      </w:r>
      <w:r>
        <w:rPr>
          <w:rFonts w:ascii="Courier New" w:hAnsi="Courier New"/>
          <w:sz w:val="18"/>
        </w:rPr>
        <w:t>dss_validation_state</w:t>
      </w:r>
      <w:r>
        <w:t xml:space="preserve">; par ailleurs, </w:t>
      </w:r>
      <w:r>
        <w:rPr>
          <w:rFonts w:ascii="Courier New" w:hAnsi="Courier New"/>
          <w:sz w:val="18"/>
        </w:rPr>
        <w:t>valide_securite</w:t>
      </w:r>
      <w:r>
        <w:t xml:space="preserve"> porte le libellé « Validation Demandeur ». La séquence </w:t>
      </w:r>
      <w:r>
        <w:rPr>
          <w:rFonts w:ascii="Courier New" w:hAnsi="Courier New"/>
          <w:sz w:val="18"/>
        </w:rPr>
        <w:t>dss.number</w:t>
      </w:r>
      <w:r>
        <w:t xml:space="preserve"> de cette extension est distincte de la séquence </w:t>
      </w:r>
      <w:r>
        <w:rPr>
          <w:rFonts w:ascii="Courier New" w:hAnsi="Courier New"/>
          <w:sz w:val="18"/>
        </w:rPr>
        <w:t>dss.request</w:t>
      </w:r>
      <w:r>
        <w:t>.</w:t>
      </w:r>
    </w:p>
    <w:p>
      <w:r>
        <w:t xml:space="preserve">L'extension de </w:t>
      </w:r>
      <w:r>
        <w:rPr>
          <w:rFonts w:ascii="Courier New" w:hAnsi="Courier New"/>
          <w:sz w:val="18"/>
        </w:rPr>
        <w:t>stock.immediate.transfer.process()</w:t>
      </w:r>
      <w:r>
        <w:t xml:space="preserve"> appelle </w:t>
      </w:r>
      <w:r>
        <w:rPr>
          <w:rFonts w:ascii="Courier New" w:hAnsi="Courier New"/>
          <w:sz w:val="18"/>
        </w:rPr>
        <w:t>check_dss_ecart()</w:t>
      </w:r>
      <w:r>
        <w:t xml:space="preserve"> avant la méthode parente. Ce contrôle exige une justification lorsque </w:t>
      </w:r>
      <w:r>
        <w:rPr>
          <w:rFonts w:ascii="Courier New" w:hAnsi="Courier New"/>
          <w:sz w:val="18"/>
        </w:rPr>
        <w:t>dss_standard_qty</w:t>
      </w:r>
      <w:r>
        <w:t xml:space="preserve"> est non nul et diffère de la quantité du move de plus de </w:t>
      </w:r>
      <w:r>
        <w:rPr>
          <w:rFonts w:ascii="Courier New" w:hAnsi="Courier New"/>
          <w:sz w:val="18"/>
        </w:rPr>
        <w:t>0.001</w:t>
      </w:r>
      <w:r>
        <w:t>.</w:t>
      </w:r>
    </w:p>
    <w:p>
      <w:pPr>
        <w:pStyle w:val="Heading2"/>
      </w:pPr>
      <w:r>
        <w:t>5. Fiche de mémorisation</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Repère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À retenir</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Flux principal</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Les méthodes de dss.request créent et terminent les pickings.</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Contrôle de quantité</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Présent avant sortie et transfert; pas dans la méthode d'entrée.</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Circuit secondaire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Le workflow ajouté à stock.picking est séparé et comporte une valeur d'état incohérente.</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Sources</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dss_request_stock.py , stock_picking.py .</w:t>
            </w:r>
          </w:p>
        </w:tc>
      </w:tr>
    </w:tbl>
    <w:p>
      <w:r>
        <w:br w:type="page"/>
      </w:r>
    </w:p>
    <w:p>
      <w:pPr>
        <w:pStyle w:val="Heading1"/>
      </w:pPr>
      <w:r>
        <w:t>01 Email Smtp</w:t>
      </w:r>
    </w:p>
    <w:p>
      <w:pPr>
        <w:pStyle w:val="Heading1"/>
      </w:pPr>
      <w:r>
        <w:t>Courriels, chatter et SMTP</w:t>
      </w:r>
    </w:p>
    <w:p>
      <w:pPr>
        <w:pStyle w:val="Heading2"/>
      </w:pPr>
      <w:r>
        <w:t>1. Architecture</w:t>
      </w:r>
    </w:p>
    <w:p>
      <w:r>
        <w:t xml:space="preserve">Les messages métier du chatter sont créés par </w:t>
      </w:r>
      <w:r>
        <w:rPr>
          <w:rFonts w:ascii="Courier New" w:hAnsi="Courier New"/>
          <w:sz w:val="18"/>
        </w:rPr>
        <w:t>message_post()</w:t>
      </w:r>
      <w:r>
        <w:t xml:space="preserve"> sur </w:t>
      </w:r>
      <w:r>
        <w:rPr>
          <w:rFonts w:ascii="Courier New" w:hAnsi="Courier New"/>
          <w:sz w:val="18"/>
        </w:rPr>
        <w:t>dss.request</w:t>
      </w:r>
      <w:r>
        <w:t xml:space="preserve">. Les courriels explicites utilisent le template </w:t>
      </w:r>
      <w:r>
        <w:rPr>
          <w:rFonts w:ascii="Courier New" w:hAnsi="Courier New"/>
          <w:sz w:val="18"/>
        </w:rPr>
        <w:t>dss_v2.mail_template_dss_workflow</w:t>
      </w:r>
      <w:r>
        <w:t xml:space="preserve">, puis créent des enregistrements </w:t>
      </w:r>
      <w:r>
        <w:rPr>
          <w:rFonts w:ascii="Courier New" w:hAnsi="Courier New"/>
          <w:sz w:val="18"/>
        </w:rPr>
        <w:t>mail.mail</w:t>
      </w:r>
      <w:r>
        <w:t xml:space="preserve"> autonomes. La configuration du serveur SMTP est extérieure au module.</w:t>
      </w:r>
    </w:p>
    <w:p>
      <w:pPr>
        <w:pStyle w:val="Heading2"/>
      </w:pPr>
      <w:r>
        <w:t>2. Événements et destinataires</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Événement</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Destinataires du code</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Motif rendu</w:t>
            </w:r>
          </w:p>
        </w:tc>
      </w:tr>
      <w:tr>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submission</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Groupe Chef actif</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Non</w:t>
            </w:r>
          </w:p>
        </w:tc>
      </w:tr>
      <w:tr>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chef_validation</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Groupe Magasin actif et demandeur</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Non</w:t>
            </w:r>
          </w:p>
        </w:tc>
      </w:tr>
      <w:tr>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chef_rejection</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Demandeur</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Oui</w:t>
            </w:r>
          </w:p>
        </w:tc>
      </w:tr>
      <w:tr>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stock_rejection</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Demandeur et groupe Chef actif</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Oui</w:t>
            </w:r>
          </w:p>
        </w:tc>
      </w:tr>
      <w:tr>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stock_approval</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Demandeur</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Non</w:t>
            </w:r>
          </w:p>
        </w:tc>
      </w:tr>
      <w:tr>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return_to_requester</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Demandeur</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Oui</w:t>
            </w:r>
          </w:p>
        </w:tc>
      </w:tr>
      <w:tr>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closure</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Demandeur et groupe Magasin actif</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Non</w:t>
            </w:r>
          </w:p>
        </w:tc>
      </w:tr>
    </w:tbl>
    <w:p>
      <w:r>
        <w:t xml:space="preserve">La méthode de résolution des utilisateurs préfère </w:t>
      </w:r>
      <w:r>
        <w:rPr>
          <w:rFonts w:ascii="Courier New" w:hAnsi="Courier New"/>
          <w:sz w:val="18"/>
        </w:rPr>
        <w:t>partner_id.email</w:t>
      </w:r>
      <w:r>
        <w:t xml:space="preserve">, puis </w:t>
      </w:r>
      <w:r>
        <w:rPr>
          <w:rFonts w:ascii="Courier New" w:hAnsi="Courier New"/>
          <w:sz w:val="18"/>
        </w:rPr>
        <w:t>user.email</w:t>
      </w:r>
      <w:r>
        <w:t xml:space="preserve">. Les adresses vides et doublons sont exclus. Le demandeur est identifié par </w:t>
      </w:r>
      <w:r>
        <w:rPr>
          <w:rFonts w:ascii="Courier New" w:hAnsi="Courier New"/>
          <w:sz w:val="18"/>
        </w:rPr>
        <w:t>signataire_demandeur_id</w:t>
      </w:r>
      <w:r>
        <w:t xml:space="preserve">, avec </w:t>
      </w:r>
      <w:r>
        <w:rPr>
          <w:rFonts w:ascii="Courier New" w:hAnsi="Courier New"/>
          <w:sz w:val="18"/>
        </w:rPr>
        <w:t>create_uid</w:t>
      </w:r>
      <w:r>
        <w:t xml:space="preserve"> en repli.</w:t>
      </w:r>
    </w:p>
    <w:p>
      <w:pPr>
        <w:pStyle w:val="Heading2"/>
      </w:pPr>
      <w:r>
        <w:t>3. Template et file d'envoi</w:t>
      </w:r>
    </w:p>
    <w:p>
      <w:r>
        <w:t xml:space="preserve">Le template XML compose le sujet, l'action, l'état et le lien vers la demande. Il n'affiche le motif que pour les clés de rejet et de renvoi. Le code fixe </w:t>
      </w:r>
      <w:r>
        <w:rPr>
          <w:rFonts w:ascii="Courier New" w:hAnsi="Courier New"/>
          <w:sz w:val="18"/>
        </w:rPr>
        <w:t>model=False</w:t>
      </w:r>
      <w:r>
        <w:t xml:space="preserve">, </w:t>
      </w:r>
      <w:r>
        <w:rPr>
          <w:rFonts w:ascii="Courier New" w:hAnsi="Courier New"/>
          <w:sz w:val="18"/>
        </w:rPr>
        <w:t>res_id=False</w:t>
      </w:r>
      <w:r>
        <w:t xml:space="preserve"> et </w:t>
      </w:r>
      <w:r>
        <w:rPr>
          <w:rFonts w:ascii="Courier New" w:hAnsi="Courier New"/>
          <w:sz w:val="18"/>
        </w:rPr>
        <w:t>auto_delete=False</w:t>
      </w:r>
      <w:r>
        <w:t xml:space="preserve">, puis crée le mail sans appeler </w:t>
      </w:r>
      <w:r>
        <w:rPr>
          <w:rFonts w:ascii="Courier New" w:hAnsi="Courier New"/>
          <w:sz w:val="18"/>
        </w:rPr>
        <w:t>send()</w:t>
      </w:r>
      <w:r>
        <w:t>; il dépend donc de la file de courriels Odoo pour l'envoi réel.</w:t>
      </w:r>
    </w:p>
    <w:p>
      <w:r>
        <w:t xml:space="preserve">Le modèle </w:t>
      </w:r>
      <w:r>
        <w:rPr>
          <w:rFonts w:ascii="Courier New" w:hAnsi="Courier New"/>
          <w:sz w:val="18"/>
        </w:rPr>
        <w:t>dss.notification.log</w:t>
      </w:r>
      <w:r>
        <w:t xml:space="preserve"> garde la demande, la clé d'événement, le mail et les destinataires. Sa contrainte unique limite chaque paire demande/événement à une entrée. Une notification déjà journalisée ne sera pas recréée par un nouvel appel de même clé.</w:t>
      </w:r>
    </w:p>
    <w:p>
      <w:pPr>
        <w:pStyle w:val="Heading2"/>
      </w:pPr>
      <w:r>
        <w:t>4. Configuration SMTP et diagnostic</w:t>
      </w:r>
    </w:p>
    <w:p>
      <w:r>
        <w:t>Le module ne contient pas les identifiants SMTP. Le serveur sortant et la tâche planifiée qui traite la file sont à configurer et superviser dans l'instance Odoo. Les fichiers du module ne fixent pas l'intervalle du cron ni une adresse d'expéditeur valide.</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Symptôme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Vérifications à faire</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Aucun mail.mail créé</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Destinataires disponibles, template externe présent, erreurs dans le journal Odoo.</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Mail en attente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État du mail.mail , tâche de file active, serveur SMTP sortant configuré.</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Mail en échec</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Raison d'échec du mail et journaux Odoo; la méthode DSS n'effectue pas de relance dédiée.</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Mail non reçu</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Vérifier la livraison côté serveur et boîte destinataire; la création du mail ne prouve pas sa réception.</w:t>
            </w:r>
          </w:p>
        </w:tc>
      </w:tr>
    </w:tbl>
    <w:p>
      <w:r>
        <w:t>Ne jamais ajouter de mot de passe SMTP, de mot de passe de base ou de jeton dans cette documentation.</w:t>
      </w:r>
    </w:p>
    <w:p>
      <w:pPr>
        <w:pStyle w:val="Heading2"/>
      </w:pPr>
      <w:r>
        <w:t>5. Fiche de mémorisation</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Repère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À retenir</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Chatter</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Trace métier visible sur la fiche DSS.</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Email</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Mail autonome en file, pas attaché au chatter DSS.</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SMTP</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Configuration d'instance, pas du code du module.</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Sources</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dss_notification.py , dss_mail_templates.xml , test_dss_notifications.py .</w:t>
            </w:r>
          </w:p>
        </w:tc>
      </w:tr>
    </w:tbl>
    <w:p>
      <w:r>
        <w:br w:type="page"/>
      </w:r>
    </w:p>
    <w:p>
      <w:pPr>
        <w:pStyle w:val="Heading1"/>
      </w:pPr>
      <w:r>
        <w:t>02 Sequence</w:t>
      </w:r>
    </w:p>
    <w:p>
      <w:pPr>
        <w:pStyle w:val="Heading1"/>
      </w:pPr>
      <w:r>
        <w:t>Séquences de numérotation</w:t>
      </w:r>
    </w:p>
    <w:p>
      <w:pPr>
        <w:pStyle w:val="Heading2"/>
      </w:pPr>
      <w:r>
        <w:t>1. Séquence des demandes</w:t>
      </w:r>
    </w:p>
    <w:p>
      <w:r>
        <w:t xml:space="preserve">La séquence </w:t>
      </w:r>
      <w:r>
        <w:rPr>
          <w:rFonts w:ascii="Courier New" w:hAnsi="Courier New"/>
          <w:sz w:val="18"/>
        </w:rPr>
        <w:t>dss.request</w:t>
      </w:r>
      <w:r>
        <w:t xml:space="preserve"> est déclarée dans </w:t>
      </w:r>
      <w:r>
        <w:rPr>
          <w:rFonts w:ascii="Courier New" w:hAnsi="Courier New"/>
          <w:sz w:val="18"/>
        </w:rPr>
        <w:t>data/dss_sequence.xml</w:t>
      </w:r>
      <w:r>
        <w:t xml:space="preserve"> avec </w:t>
      </w:r>
      <w:r>
        <w:rPr>
          <w:rFonts w:ascii="Courier New" w:hAnsi="Courier New"/>
          <w:sz w:val="18"/>
        </w:rPr>
        <w:t>noupdate="1"</w:t>
      </w:r>
      <w:r>
        <w:t>.</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Paramètre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Valeur</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Identifiant XML</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dss_v2.seq_dss_request</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Code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dss.request</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Préfixe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DSS-</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Padding</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5 chiffres</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Prochain numéro initial</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1</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Incrément</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1</w:t>
            </w:r>
          </w:p>
        </w:tc>
      </w:tr>
    </w:tbl>
    <w:p>
      <w:r>
        <w:rPr>
          <w:rFonts w:ascii="Courier New" w:hAnsi="Courier New"/>
          <w:sz w:val="18"/>
        </w:rPr>
        <w:t>DssRequest.create()</w:t>
      </w:r>
      <w:r>
        <w:t xml:space="preserve"> appelle </w:t>
      </w:r>
      <w:r>
        <w:rPr>
          <w:rFonts w:ascii="Courier New" w:hAnsi="Courier New"/>
          <w:sz w:val="18"/>
        </w:rPr>
        <w:t>ir.sequence.next_by_code('dss.request')</w:t>
      </w:r>
      <w:r>
        <w:t xml:space="preserve"> lorsque le nom fourni vaut </w:t>
      </w:r>
      <w:r>
        <w:rPr>
          <w:rFonts w:ascii="Courier New" w:hAnsi="Courier New"/>
          <w:sz w:val="18"/>
        </w:rPr>
        <w:t>/</w:t>
      </w:r>
      <w:r>
        <w:t xml:space="preserve"> ou est absent. Le module ne déclare pas de contrainte SQL d'unicité sur </w:t>
      </w:r>
      <w:r>
        <w:rPr>
          <w:rFonts w:ascii="Courier New" w:hAnsi="Courier New"/>
          <w:sz w:val="18"/>
        </w:rPr>
        <w:t>name</w:t>
      </w:r>
      <w:r>
        <w:t>.</w:t>
      </w:r>
    </w:p>
    <w:p>
      <w:pPr>
        <w:pStyle w:val="Heading2"/>
      </w:pPr>
      <w:r>
        <w:t>2. Séquence de stock.picking</w:t>
      </w:r>
    </w:p>
    <w:p>
      <w:r>
        <w:t xml:space="preserve">L'extension </w:t>
      </w:r>
      <w:r>
        <w:rPr>
          <w:rFonts w:ascii="Courier New" w:hAnsi="Courier New"/>
          <w:sz w:val="18"/>
        </w:rPr>
        <w:t>stock.picking.create()</w:t>
      </w:r>
      <w:r>
        <w:t xml:space="preserve"> demande aussi une valeur à </w:t>
      </w:r>
      <w:r>
        <w:rPr>
          <w:rFonts w:ascii="Courier New" w:hAnsi="Courier New"/>
          <w:sz w:val="18"/>
        </w:rPr>
        <w:t>next_by_code('dss.number')</w:t>
      </w:r>
      <w:r>
        <w:t xml:space="preserve"> si </w:t>
      </w:r>
      <w:r>
        <w:rPr>
          <w:rFonts w:ascii="Courier New" w:hAnsi="Courier New"/>
          <w:sz w:val="18"/>
        </w:rPr>
        <w:t>dss_number</w:t>
      </w:r>
      <w:r>
        <w:t xml:space="preserve"> n'est pas fourni. Aucune séquence avec le code </w:t>
      </w:r>
      <w:r>
        <w:rPr>
          <w:rFonts w:ascii="Courier New" w:hAnsi="Courier New"/>
          <w:sz w:val="18"/>
        </w:rPr>
        <w:t>dss.number</w:t>
      </w:r>
      <w:r>
        <w:t xml:space="preserve"> n'apparaît dans les fichiers de données de </w:t>
      </w:r>
      <w:r>
        <w:rPr>
          <w:rFonts w:ascii="Courier New" w:hAnsi="Courier New"/>
          <w:sz w:val="18"/>
        </w:rPr>
        <w:t>dss_v2</w:t>
      </w:r>
      <w:r>
        <w:t>; sa définition doit donc provenir d'une autre donnée ou installation si ce chemin est utilisé.</w:t>
      </w:r>
    </w:p>
    <w:p>
      <w:pPr>
        <w:pStyle w:val="Heading2"/>
      </w:pPr>
      <w:r>
        <w:t>3. Fiche de mémorisation</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Repère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À retenir</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Demande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La séquence dss.request fournit les numéros DSS- suivis d'au moins cinq chiffres.</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Picking</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Le code attend le code de séquence distinct dss.number .</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noupdate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La déclaration de séquence demande à Odoo de ne pas réinitialiser ses valeurs à chaque mise à jour du module.</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Sources</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dss_sequence.xml , dss_request.py , stock_picking.py .</w:t>
            </w:r>
          </w:p>
        </w:tc>
      </w:tr>
    </w:tbl>
    <w:p>
      <w:r>
        <w:br w:type="page"/>
      </w:r>
    </w:p>
    <w:p>
      <w:pPr>
        <w:pStyle w:val="Heading1"/>
      </w:pPr>
      <w:r>
        <w:t>00 Groupes</w:t>
      </w:r>
    </w:p>
    <w:p>
      <w:pPr>
        <w:pStyle w:val="Heading1"/>
      </w:pPr>
      <w:r>
        <w:t>Groupes DSS</w:t>
      </w:r>
    </w:p>
    <w:p>
      <w:pPr>
        <w:pStyle w:val="Heading2"/>
      </w:pPr>
      <w:r>
        <w:t>1. Catégorie</w:t>
      </w:r>
    </w:p>
    <w:p>
      <w:r>
        <w:rPr>
          <w:rFonts w:ascii="Courier New" w:hAnsi="Courier New"/>
          <w:sz w:val="18"/>
        </w:rPr>
        <w:t>security/dss_security.xml</w:t>
      </w:r>
      <w:r>
        <w:t xml:space="preserve"> crée la catégorie Odoo </w:t>
      </w:r>
      <w:r>
        <w:rPr>
          <w:rFonts w:ascii="Courier New" w:hAnsi="Courier New"/>
          <w:sz w:val="18"/>
        </w:rPr>
        <w:t>DSS</w:t>
      </w:r>
      <w:r>
        <w:t>, puis y rattache les groupes du module. Ce fichier ne déclare pas de relation hiérarchique ni de droits CRUD.</w:t>
      </w:r>
    </w:p>
    <w:p>
      <w:pPr>
        <w:pStyle w:val="Heading2"/>
      </w:pPr>
      <w:r>
        <w:t>2. Groupes déclarés</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XML ID</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Nom affiché</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Usage déclaré ou visible</w:t>
            </w:r>
          </w:p>
        </w:tc>
      </w:tr>
      <w:tr>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dss_v2.group_dss_demandeur</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DSS / Demandeur</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Accès au menu « Mes demandes ».</w:t>
            </w:r>
          </w:p>
        </w:tc>
      </w:tr>
      <w:tr>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dss_v2.group_dss_chef</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DSS / Chef</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Validations Chef, rejet au niveau Chef, renvoi et clôture.</w:t>
            </w:r>
          </w:p>
        </w:tc>
      </w:tr>
      <w:tr>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dss_v2.group_dss_magasin</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DSS / Magasin</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Validation Stock, rejet au niveau Stock, modification des quantités et impression du BL.</w:t>
            </w:r>
          </w:p>
        </w:tc>
      </w:tr>
      <w:tr>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dss_v2.group_dss_securite</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DSS / Securite</w:t>
            </w:r>
          </w:p>
        </w:tc>
        <w:tc>
          <w:tcPr>
            <w:tcW w:type="dxa" w:w="2880"/>
            <w:vAlign w:val="center"/>
            <w:tcBorders>
              <w:top w:val="single" w:sz="6" w:color="000000"/>
              <w:left w:val="single" w:sz="6" w:color="000000"/>
              <w:bottom w:val="single" w:sz="6" w:color="000000"/>
              <w:right w:val="single" w:sz="6" w:color="000000"/>
              <w:insideH w:val="single" w:sz="6" w:color="000000"/>
              <w:insideV w:val="single" w:sz="6" w:color="000000"/>
            </w:tcBorders>
          </w:tcPr>
          <w:p>
            <w:r>
              <w:t>Vue de demande en lecture seule et menu provisoire « À contrôler ».</w:t>
            </w:r>
          </w:p>
        </w:tc>
      </w:tr>
    </w:tbl>
    <w:p>
      <w:r>
        <w:t xml:space="preserve">Le groupe Sécurité n'a pas de transition dans le workflow principal </w:t>
      </w:r>
      <w:r>
        <w:rPr>
          <w:rFonts w:ascii="Courier New" w:hAnsi="Courier New"/>
          <w:sz w:val="18"/>
        </w:rPr>
        <w:t>dss.request</w:t>
      </w:r>
      <w:r>
        <w:t>; le libellé du groupe ne prouve donc pas qu'une étape d'approbation est implémentée.</w:t>
      </w:r>
    </w:p>
    <w:p>
      <w:pPr>
        <w:pStyle w:val="Heading2"/>
      </w:pPr>
      <w:r>
        <w:t>3. Attribution des groupes</w:t>
      </w:r>
    </w:p>
    <w:p>
      <w:r>
        <w:t xml:space="preserve">Les groupes sont des enregistrements </w:t>
      </w:r>
      <w:r>
        <w:rPr>
          <w:rFonts w:ascii="Courier New" w:hAnsi="Courier New"/>
          <w:sz w:val="18"/>
        </w:rPr>
        <w:t>res.groups</w:t>
      </w:r>
      <w:r>
        <w:t xml:space="preserve"> rangés sous la catégorie DSS. Leur attribution aux utilisateurs se fait dans la configuration Odoo; aucun utilisateur nominatif n'est déclaré par les sources du module.</w:t>
      </w:r>
    </w:p>
    <w:p>
      <w:pPr>
        <w:pStyle w:val="Heading2"/>
      </w:pPr>
      <w:r>
        <w:t>4. Fiche de mémorisation</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Repère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À retenir</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Définition</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Groupes et catégorie dans dss_security.xml .</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Permissions</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Les droits d'accès sont séparés dans ir.model.access.csv .</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Sécurité</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La présence d'un groupe n'implique ni ACL restreinte ni record rule.</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Source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security/dss_security.xml .</w:t>
            </w:r>
          </w:p>
        </w:tc>
      </w:tr>
    </w:tbl>
    <w:p>
      <w:r>
        <w:br w:type="page"/>
      </w:r>
    </w:p>
    <w:p>
      <w:pPr>
        <w:pStyle w:val="Heading1"/>
      </w:pPr>
      <w:r>
        <w:t>01 Droits Crud</w:t>
      </w:r>
    </w:p>
    <w:p>
      <w:pPr>
        <w:pStyle w:val="Heading1"/>
      </w:pPr>
      <w:r>
        <w:t>Droits CRUD</w:t>
      </w:r>
    </w:p>
    <w:p>
      <w:pPr>
        <w:pStyle w:val="Heading2"/>
      </w:pPr>
      <w:r>
        <w:t>1. Colonnes de l'ACL CSV</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Colonne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Signification</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id</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Identifiant externe de la ligne ACL.</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name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Libellé technique.</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model_id:id</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Référence au modèle Odoo.</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group_id:id</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Groupe concerné; vide signifie qu'aucun groupe n'est spécifié.</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perm_read</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Lecture.</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perm_write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Modification.</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perm_create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Création.</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perm_unlink</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Suppression.</w:t>
            </w:r>
          </w:p>
        </w:tc>
      </w:tr>
    </w:tbl>
    <w:p>
      <w:pPr>
        <w:pStyle w:val="Heading2"/>
      </w:pPr>
      <w:r>
        <w:t>2. Droits déclarés par le module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Modèle</w:t>
            </w:r>
          </w:p>
        </w:tc>
        <w:tc>
          <w:tcPr>
            <w:tcW w:type="dxa" w:w="144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Groupe</w:t>
            </w:r>
          </w:p>
        </w:tc>
        <w:tc>
          <w:tcPr>
            <w:tcW w:type="dxa" w:w="144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Lire</w:t>
            </w:r>
          </w:p>
        </w:tc>
        <w:tc>
          <w:tcPr>
            <w:tcW w:type="dxa" w:w="144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Écrire</w:t>
            </w:r>
          </w:p>
        </w:tc>
        <w:tc>
          <w:tcPr>
            <w:tcW w:type="dxa" w:w="144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Créer</w:t>
            </w:r>
          </w:p>
        </w:tc>
        <w:tc>
          <w:tcPr>
            <w:tcW w:type="dxa" w:w="144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Supprimer</w:t>
            </w:r>
          </w:p>
        </w:tc>
      </w:tr>
      <w:tr>
        <w:tc>
          <w:tcPr>
            <w:tcW w:type="dxa" w:w="1440"/>
            <w:vAlign w:val="center"/>
            <w:tcBorders>
              <w:top w:val="single" w:sz="6" w:color="000000"/>
              <w:left w:val="single" w:sz="6" w:color="000000"/>
              <w:bottom w:val="single" w:sz="6" w:color="000000"/>
              <w:right w:val="single" w:sz="6" w:color="000000"/>
              <w:insideH w:val="single" w:sz="6" w:color="000000"/>
              <w:insideV w:val="single" w:sz="6" w:color="000000"/>
            </w:tcBorders>
          </w:tcPr>
          <w:p>
            <w:r>
              <w:t>dss.request</w:t>
            </w:r>
          </w:p>
        </w:tc>
        <w:tc>
          <w:tcPr>
            <w:tcW w:type="dxa" w:w="1440"/>
            <w:vAlign w:val="center"/>
            <w:tcBorders>
              <w:top w:val="single" w:sz="6" w:color="000000"/>
              <w:left w:val="single" w:sz="6" w:color="000000"/>
              <w:bottom w:val="single" w:sz="6" w:color="000000"/>
              <w:right w:val="single" w:sz="6" w:color="000000"/>
              <w:insideH w:val="single" w:sz="6" w:color="000000"/>
              <w:insideV w:val="single" w:sz="6" w:color="000000"/>
            </w:tcBorders>
          </w:tcPr>
          <w:p>
            <w:r>
              <w:t>Aucun</w:t>
            </w:r>
          </w:p>
        </w:tc>
        <w:tc>
          <w:tcPr>
            <w:tcW w:type="dxa" w:w="1440"/>
            <w:vAlign w:val="center"/>
            <w:tcBorders>
              <w:top w:val="single" w:sz="6" w:color="000000"/>
              <w:left w:val="single" w:sz="6" w:color="000000"/>
              <w:bottom w:val="single" w:sz="6" w:color="000000"/>
              <w:right w:val="single" w:sz="6" w:color="000000"/>
              <w:insideH w:val="single" w:sz="6" w:color="000000"/>
              <w:insideV w:val="single" w:sz="6" w:color="000000"/>
            </w:tcBorders>
          </w:tcPr>
          <w:p>
            <w:r>
              <w:t>1</w:t>
            </w:r>
          </w:p>
        </w:tc>
        <w:tc>
          <w:tcPr>
            <w:tcW w:type="dxa" w:w="1440"/>
            <w:vAlign w:val="center"/>
            <w:tcBorders>
              <w:top w:val="single" w:sz="6" w:color="000000"/>
              <w:left w:val="single" w:sz="6" w:color="000000"/>
              <w:bottom w:val="single" w:sz="6" w:color="000000"/>
              <w:right w:val="single" w:sz="6" w:color="000000"/>
              <w:insideH w:val="single" w:sz="6" w:color="000000"/>
              <w:insideV w:val="single" w:sz="6" w:color="000000"/>
            </w:tcBorders>
          </w:tcPr>
          <w:p>
            <w:r>
              <w:t>1</w:t>
            </w:r>
          </w:p>
        </w:tc>
        <w:tc>
          <w:tcPr>
            <w:tcW w:type="dxa" w:w="1440"/>
            <w:vAlign w:val="center"/>
            <w:tcBorders>
              <w:top w:val="single" w:sz="6" w:color="000000"/>
              <w:left w:val="single" w:sz="6" w:color="000000"/>
              <w:bottom w:val="single" w:sz="6" w:color="000000"/>
              <w:right w:val="single" w:sz="6" w:color="000000"/>
              <w:insideH w:val="single" w:sz="6" w:color="000000"/>
              <w:insideV w:val="single" w:sz="6" w:color="000000"/>
            </w:tcBorders>
          </w:tcPr>
          <w:p>
            <w:r>
              <w:t>1</w:t>
            </w:r>
          </w:p>
        </w:tc>
        <w:tc>
          <w:tcPr>
            <w:tcW w:type="dxa" w:w="1440"/>
            <w:vAlign w:val="center"/>
            <w:tcBorders>
              <w:top w:val="single" w:sz="6" w:color="000000"/>
              <w:left w:val="single" w:sz="6" w:color="000000"/>
              <w:bottom w:val="single" w:sz="6" w:color="000000"/>
              <w:right w:val="single" w:sz="6" w:color="000000"/>
              <w:insideH w:val="single" w:sz="6" w:color="000000"/>
              <w:insideV w:val="single" w:sz="6" w:color="000000"/>
            </w:tcBorders>
          </w:tcPr>
          <w:p>
            <w:r>
              <w:t>1</w:t>
            </w:r>
          </w:p>
        </w:tc>
      </w:tr>
      <w:tr>
        <w:tc>
          <w:tcPr>
            <w:tcW w:type="dxa" w:w="1440"/>
            <w:vAlign w:val="center"/>
            <w:tcBorders>
              <w:top w:val="single" w:sz="6" w:color="000000"/>
              <w:left w:val="single" w:sz="6" w:color="000000"/>
              <w:bottom w:val="single" w:sz="6" w:color="000000"/>
              <w:right w:val="single" w:sz="6" w:color="000000"/>
              <w:insideH w:val="single" w:sz="6" w:color="000000"/>
              <w:insideV w:val="single" w:sz="6" w:color="000000"/>
            </w:tcBorders>
          </w:tcPr>
          <w:p>
            <w:r>
              <w:t>dss.request.line</w:t>
            </w:r>
          </w:p>
        </w:tc>
        <w:tc>
          <w:tcPr>
            <w:tcW w:type="dxa" w:w="1440"/>
            <w:vAlign w:val="center"/>
            <w:tcBorders>
              <w:top w:val="single" w:sz="6" w:color="000000"/>
              <w:left w:val="single" w:sz="6" w:color="000000"/>
              <w:bottom w:val="single" w:sz="6" w:color="000000"/>
              <w:right w:val="single" w:sz="6" w:color="000000"/>
              <w:insideH w:val="single" w:sz="6" w:color="000000"/>
              <w:insideV w:val="single" w:sz="6" w:color="000000"/>
            </w:tcBorders>
          </w:tcPr>
          <w:p>
            <w:r>
              <w:t>Aucun</w:t>
            </w:r>
          </w:p>
        </w:tc>
        <w:tc>
          <w:tcPr>
            <w:tcW w:type="dxa" w:w="1440"/>
            <w:vAlign w:val="center"/>
            <w:tcBorders>
              <w:top w:val="single" w:sz="6" w:color="000000"/>
              <w:left w:val="single" w:sz="6" w:color="000000"/>
              <w:bottom w:val="single" w:sz="6" w:color="000000"/>
              <w:right w:val="single" w:sz="6" w:color="000000"/>
              <w:insideH w:val="single" w:sz="6" w:color="000000"/>
              <w:insideV w:val="single" w:sz="6" w:color="000000"/>
            </w:tcBorders>
          </w:tcPr>
          <w:p>
            <w:r>
              <w:t>1</w:t>
            </w:r>
          </w:p>
        </w:tc>
        <w:tc>
          <w:tcPr>
            <w:tcW w:type="dxa" w:w="1440"/>
            <w:vAlign w:val="center"/>
            <w:tcBorders>
              <w:top w:val="single" w:sz="6" w:color="000000"/>
              <w:left w:val="single" w:sz="6" w:color="000000"/>
              <w:bottom w:val="single" w:sz="6" w:color="000000"/>
              <w:right w:val="single" w:sz="6" w:color="000000"/>
              <w:insideH w:val="single" w:sz="6" w:color="000000"/>
              <w:insideV w:val="single" w:sz="6" w:color="000000"/>
            </w:tcBorders>
          </w:tcPr>
          <w:p>
            <w:r>
              <w:t>1</w:t>
            </w:r>
          </w:p>
        </w:tc>
        <w:tc>
          <w:tcPr>
            <w:tcW w:type="dxa" w:w="1440"/>
            <w:vAlign w:val="center"/>
            <w:tcBorders>
              <w:top w:val="single" w:sz="6" w:color="000000"/>
              <w:left w:val="single" w:sz="6" w:color="000000"/>
              <w:bottom w:val="single" w:sz="6" w:color="000000"/>
              <w:right w:val="single" w:sz="6" w:color="000000"/>
              <w:insideH w:val="single" w:sz="6" w:color="000000"/>
              <w:insideV w:val="single" w:sz="6" w:color="000000"/>
            </w:tcBorders>
          </w:tcPr>
          <w:p>
            <w:r>
              <w:t>1</w:t>
            </w:r>
          </w:p>
        </w:tc>
        <w:tc>
          <w:tcPr>
            <w:tcW w:type="dxa" w:w="1440"/>
            <w:vAlign w:val="center"/>
            <w:tcBorders>
              <w:top w:val="single" w:sz="6" w:color="000000"/>
              <w:left w:val="single" w:sz="6" w:color="000000"/>
              <w:bottom w:val="single" w:sz="6" w:color="000000"/>
              <w:right w:val="single" w:sz="6" w:color="000000"/>
              <w:insideH w:val="single" w:sz="6" w:color="000000"/>
              <w:insideV w:val="single" w:sz="6" w:color="000000"/>
            </w:tcBorders>
          </w:tcPr>
          <w:p>
            <w:r>
              <w:t>1</w:t>
            </w:r>
          </w:p>
        </w:tc>
      </w:tr>
      <w:tr>
        <w:tc>
          <w:tcPr>
            <w:tcW w:type="dxa" w:w="1440"/>
            <w:vAlign w:val="center"/>
            <w:tcBorders>
              <w:top w:val="single" w:sz="6" w:color="000000"/>
              <w:left w:val="single" w:sz="6" w:color="000000"/>
              <w:bottom w:val="single" w:sz="6" w:color="000000"/>
              <w:right w:val="single" w:sz="6" w:color="000000"/>
              <w:insideH w:val="single" w:sz="6" w:color="000000"/>
              <w:insideV w:val="single" w:sz="6" w:color="000000"/>
            </w:tcBorders>
          </w:tcPr>
          <w:p>
            <w:r>
              <w:t>dss.qty.sortie.wizard</w:t>
            </w:r>
          </w:p>
        </w:tc>
        <w:tc>
          <w:tcPr>
            <w:tcW w:type="dxa" w:w="1440"/>
            <w:vAlign w:val="center"/>
            <w:tcBorders>
              <w:top w:val="single" w:sz="6" w:color="000000"/>
              <w:left w:val="single" w:sz="6" w:color="000000"/>
              <w:bottom w:val="single" w:sz="6" w:color="000000"/>
              <w:right w:val="single" w:sz="6" w:color="000000"/>
              <w:insideH w:val="single" w:sz="6" w:color="000000"/>
              <w:insideV w:val="single" w:sz="6" w:color="000000"/>
            </w:tcBorders>
          </w:tcPr>
          <w:p>
            <w:r>
              <w:t>DSS / Magasin</w:t>
            </w:r>
          </w:p>
        </w:tc>
        <w:tc>
          <w:tcPr>
            <w:tcW w:type="dxa" w:w="1440"/>
            <w:vAlign w:val="center"/>
            <w:tcBorders>
              <w:top w:val="single" w:sz="6" w:color="000000"/>
              <w:left w:val="single" w:sz="6" w:color="000000"/>
              <w:bottom w:val="single" w:sz="6" w:color="000000"/>
              <w:right w:val="single" w:sz="6" w:color="000000"/>
              <w:insideH w:val="single" w:sz="6" w:color="000000"/>
              <w:insideV w:val="single" w:sz="6" w:color="000000"/>
            </w:tcBorders>
          </w:tcPr>
          <w:p>
            <w:r>
              <w:t>1</w:t>
            </w:r>
          </w:p>
        </w:tc>
        <w:tc>
          <w:tcPr>
            <w:tcW w:type="dxa" w:w="1440"/>
            <w:vAlign w:val="center"/>
            <w:tcBorders>
              <w:top w:val="single" w:sz="6" w:color="000000"/>
              <w:left w:val="single" w:sz="6" w:color="000000"/>
              <w:bottom w:val="single" w:sz="6" w:color="000000"/>
              <w:right w:val="single" w:sz="6" w:color="000000"/>
              <w:insideH w:val="single" w:sz="6" w:color="000000"/>
              <w:insideV w:val="single" w:sz="6" w:color="000000"/>
            </w:tcBorders>
          </w:tcPr>
          <w:p>
            <w:r>
              <w:t>1</w:t>
            </w:r>
          </w:p>
        </w:tc>
        <w:tc>
          <w:tcPr>
            <w:tcW w:type="dxa" w:w="1440"/>
            <w:vAlign w:val="center"/>
            <w:tcBorders>
              <w:top w:val="single" w:sz="6" w:color="000000"/>
              <w:left w:val="single" w:sz="6" w:color="000000"/>
              <w:bottom w:val="single" w:sz="6" w:color="000000"/>
              <w:right w:val="single" w:sz="6" w:color="000000"/>
              <w:insideH w:val="single" w:sz="6" w:color="000000"/>
              <w:insideV w:val="single" w:sz="6" w:color="000000"/>
            </w:tcBorders>
          </w:tcPr>
          <w:p>
            <w:r>
              <w:t>1</w:t>
            </w:r>
          </w:p>
        </w:tc>
        <w:tc>
          <w:tcPr>
            <w:tcW w:type="dxa" w:w="1440"/>
            <w:vAlign w:val="center"/>
            <w:tcBorders>
              <w:top w:val="single" w:sz="6" w:color="000000"/>
              <w:left w:val="single" w:sz="6" w:color="000000"/>
              <w:bottom w:val="single" w:sz="6" w:color="000000"/>
              <w:right w:val="single" w:sz="6" w:color="000000"/>
              <w:insideH w:val="single" w:sz="6" w:color="000000"/>
              <w:insideV w:val="single" w:sz="6" w:color="000000"/>
            </w:tcBorders>
          </w:tcPr>
          <w:p>
            <w:r>
              <w:t>1</w:t>
            </w:r>
          </w:p>
        </w:tc>
      </w:tr>
      <w:tr>
        <w:tc>
          <w:tcPr>
            <w:tcW w:type="dxa" w:w="1440"/>
            <w:vAlign w:val="center"/>
            <w:tcBorders>
              <w:top w:val="single" w:sz="6" w:color="000000"/>
              <w:left w:val="single" w:sz="6" w:color="000000"/>
              <w:bottom w:val="single" w:sz="6" w:color="000000"/>
              <w:right w:val="single" w:sz="6" w:color="000000"/>
              <w:insideH w:val="single" w:sz="6" w:color="000000"/>
              <w:insideV w:val="single" w:sz="6" w:color="000000"/>
            </w:tcBorders>
          </w:tcPr>
          <w:p>
            <w:r>
              <w:t>dss.qty.sortie.wizard.line</w:t>
            </w:r>
          </w:p>
        </w:tc>
        <w:tc>
          <w:tcPr>
            <w:tcW w:type="dxa" w:w="1440"/>
            <w:vAlign w:val="center"/>
            <w:tcBorders>
              <w:top w:val="single" w:sz="6" w:color="000000"/>
              <w:left w:val="single" w:sz="6" w:color="000000"/>
              <w:bottom w:val="single" w:sz="6" w:color="000000"/>
              <w:right w:val="single" w:sz="6" w:color="000000"/>
              <w:insideH w:val="single" w:sz="6" w:color="000000"/>
              <w:insideV w:val="single" w:sz="6" w:color="000000"/>
            </w:tcBorders>
          </w:tcPr>
          <w:p>
            <w:r>
              <w:t>DSS / Magasin</w:t>
            </w:r>
          </w:p>
        </w:tc>
        <w:tc>
          <w:tcPr>
            <w:tcW w:type="dxa" w:w="1440"/>
            <w:vAlign w:val="center"/>
            <w:tcBorders>
              <w:top w:val="single" w:sz="6" w:color="000000"/>
              <w:left w:val="single" w:sz="6" w:color="000000"/>
              <w:bottom w:val="single" w:sz="6" w:color="000000"/>
              <w:right w:val="single" w:sz="6" w:color="000000"/>
              <w:insideH w:val="single" w:sz="6" w:color="000000"/>
              <w:insideV w:val="single" w:sz="6" w:color="000000"/>
            </w:tcBorders>
          </w:tcPr>
          <w:p>
            <w:r>
              <w:t>1</w:t>
            </w:r>
          </w:p>
        </w:tc>
        <w:tc>
          <w:tcPr>
            <w:tcW w:type="dxa" w:w="1440"/>
            <w:vAlign w:val="center"/>
            <w:tcBorders>
              <w:top w:val="single" w:sz="6" w:color="000000"/>
              <w:left w:val="single" w:sz="6" w:color="000000"/>
              <w:bottom w:val="single" w:sz="6" w:color="000000"/>
              <w:right w:val="single" w:sz="6" w:color="000000"/>
              <w:insideH w:val="single" w:sz="6" w:color="000000"/>
              <w:insideV w:val="single" w:sz="6" w:color="000000"/>
            </w:tcBorders>
          </w:tcPr>
          <w:p>
            <w:r>
              <w:t>1</w:t>
            </w:r>
          </w:p>
        </w:tc>
        <w:tc>
          <w:tcPr>
            <w:tcW w:type="dxa" w:w="1440"/>
            <w:vAlign w:val="center"/>
            <w:tcBorders>
              <w:top w:val="single" w:sz="6" w:color="000000"/>
              <w:left w:val="single" w:sz="6" w:color="000000"/>
              <w:bottom w:val="single" w:sz="6" w:color="000000"/>
              <w:right w:val="single" w:sz="6" w:color="000000"/>
              <w:insideH w:val="single" w:sz="6" w:color="000000"/>
              <w:insideV w:val="single" w:sz="6" w:color="000000"/>
            </w:tcBorders>
          </w:tcPr>
          <w:p>
            <w:r>
              <w:t>1</w:t>
            </w:r>
          </w:p>
        </w:tc>
        <w:tc>
          <w:tcPr>
            <w:tcW w:type="dxa" w:w="1440"/>
            <w:vAlign w:val="center"/>
            <w:tcBorders>
              <w:top w:val="single" w:sz="6" w:color="000000"/>
              <w:left w:val="single" w:sz="6" w:color="000000"/>
              <w:bottom w:val="single" w:sz="6" w:color="000000"/>
              <w:right w:val="single" w:sz="6" w:color="000000"/>
              <w:insideH w:val="single" w:sz="6" w:color="000000"/>
              <w:insideV w:val="single" w:sz="6" w:color="000000"/>
            </w:tcBorders>
          </w:tcPr>
          <w:p>
            <w:r>
              <w:t>1</w:t>
            </w:r>
          </w:p>
        </w:tc>
      </w:tr>
      <w:tr>
        <w:tc>
          <w:tcPr>
            <w:tcW w:type="dxa" w:w="1440"/>
            <w:vAlign w:val="center"/>
            <w:tcBorders>
              <w:top w:val="single" w:sz="6" w:color="000000"/>
              <w:left w:val="single" w:sz="6" w:color="000000"/>
              <w:bottom w:val="single" w:sz="6" w:color="000000"/>
              <w:right w:val="single" w:sz="6" w:color="000000"/>
              <w:insideH w:val="single" w:sz="6" w:color="000000"/>
              <w:insideV w:val="single" w:sz="6" w:color="000000"/>
            </w:tcBorders>
          </w:tcPr>
          <w:p>
            <w:r>
              <w:t>dss.rejet.wizard</w:t>
            </w:r>
          </w:p>
        </w:tc>
        <w:tc>
          <w:tcPr>
            <w:tcW w:type="dxa" w:w="1440"/>
            <w:vAlign w:val="center"/>
            <w:tcBorders>
              <w:top w:val="single" w:sz="6" w:color="000000"/>
              <w:left w:val="single" w:sz="6" w:color="000000"/>
              <w:bottom w:val="single" w:sz="6" w:color="000000"/>
              <w:right w:val="single" w:sz="6" w:color="000000"/>
              <w:insideH w:val="single" w:sz="6" w:color="000000"/>
              <w:insideV w:val="single" w:sz="6" w:color="000000"/>
            </w:tcBorders>
          </w:tcPr>
          <w:p>
            <w:r>
              <w:t>Aucun</w:t>
            </w:r>
          </w:p>
        </w:tc>
        <w:tc>
          <w:tcPr>
            <w:tcW w:type="dxa" w:w="1440"/>
            <w:vAlign w:val="center"/>
            <w:tcBorders>
              <w:top w:val="single" w:sz="6" w:color="000000"/>
              <w:left w:val="single" w:sz="6" w:color="000000"/>
              <w:bottom w:val="single" w:sz="6" w:color="000000"/>
              <w:right w:val="single" w:sz="6" w:color="000000"/>
              <w:insideH w:val="single" w:sz="6" w:color="000000"/>
              <w:insideV w:val="single" w:sz="6" w:color="000000"/>
            </w:tcBorders>
          </w:tcPr>
          <w:p>
            <w:r>
              <w:t>1</w:t>
            </w:r>
          </w:p>
        </w:tc>
        <w:tc>
          <w:tcPr>
            <w:tcW w:type="dxa" w:w="1440"/>
            <w:vAlign w:val="center"/>
            <w:tcBorders>
              <w:top w:val="single" w:sz="6" w:color="000000"/>
              <w:left w:val="single" w:sz="6" w:color="000000"/>
              <w:bottom w:val="single" w:sz="6" w:color="000000"/>
              <w:right w:val="single" w:sz="6" w:color="000000"/>
              <w:insideH w:val="single" w:sz="6" w:color="000000"/>
              <w:insideV w:val="single" w:sz="6" w:color="000000"/>
            </w:tcBorders>
          </w:tcPr>
          <w:p>
            <w:r>
              <w:t>1</w:t>
            </w:r>
          </w:p>
        </w:tc>
        <w:tc>
          <w:tcPr>
            <w:tcW w:type="dxa" w:w="1440"/>
            <w:vAlign w:val="center"/>
            <w:tcBorders>
              <w:top w:val="single" w:sz="6" w:color="000000"/>
              <w:left w:val="single" w:sz="6" w:color="000000"/>
              <w:bottom w:val="single" w:sz="6" w:color="000000"/>
              <w:right w:val="single" w:sz="6" w:color="000000"/>
              <w:insideH w:val="single" w:sz="6" w:color="000000"/>
              <w:insideV w:val="single" w:sz="6" w:color="000000"/>
            </w:tcBorders>
          </w:tcPr>
          <w:p>
            <w:r>
              <w:t>1</w:t>
            </w:r>
          </w:p>
        </w:tc>
        <w:tc>
          <w:tcPr>
            <w:tcW w:type="dxa" w:w="1440"/>
            <w:vAlign w:val="center"/>
            <w:tcBorders>
              <w:top w:val="single" w:sz="6" w:color="000000"/>
              <w:left w:val="single" w:sz="6" w:color="000000"/>
              <w:bottom w:val="single" w:sz="6" w:color="000000"/>
              <w:right w:val="single" w:sz="6" w:color="000000"/>
              <w:insideH w:val="single" w:sz="6" w:color="000000"/>
              <w:insideV w:val="single" w:sz="6" w:color="000000"/>
            </w:tcBorders>
          </w:tcPr>
          <w:p>
            <w:r>
              <w:t>1</w:t>
            </w:r>
          </w:p>
        </w:tc>
      </w:tr>
      <w:tr>
        <w:tc>
          <w:tcPr>
            <w:tcW w:type="dxa" w:w="1440"/>
            <w:vAlign w:val="center"/>
            <w:tcBorders>
              <w:top w:val="single" w:sz="6" w:color="000000"/>
              <w:left w:val="single" w:sz="6" w:color="000000"/>
              <w:bottom w:val="single" w:sz="6" w:color="000000"/>
              <w:right w:val="single" w:sz="6" w:color="000000"/>
              <w:insideH w:val="single" w:sz="6" w:color="000000"/>
              <w:insideV w:val="single" w:sz="6" w:color="000000"/>
            </w:tcBorders>
          </w:tcPr>
          <w:p>
            <w:r>
              <w:t>dss.cloture.wizard</w:t>
            </w:r>
          </w:p>
        </w:tc>
        <w:tc>
          <w:tcPr>
            <w:tcW w:type="dxa" w:w="1440"/>
            <w:vAlign w:val="center"/>
            <w:tcBorders>
              <w:top w:val="single" w:sz="6" w:color="000000"/>
              <w:left w:val="single" w:sz="6" w:color="000000"/>
              <w:bottom w:val="single" w:sz="6" w:color="000000"/>
              <w:right w:val="single" w:sz="6" w:color="000000"/>
              <w:insideH w:val="single" w:sz="6" w:color="000000"/>
              <w:insideV w:val="single" w:sz="6" w:color="000000"/>
            </w:tcBorders>
          </w:tcPr>
          <w:p>
            <w:r>
              <w:t>DSS / Chef</w:t>
            </w:r>
          </w:p>
        </w:tc>
        <w:tc>
          <w:tcPr>
            <w:tcW w:type="dxa" w:w="1440"/>
            <w:vAlign w:val="center"/>
            <w:tcBorders>
              <w:top w:val="single" w:sz="6" w:color="000000"/>
              <w:left w:val="single" w:sz="6" w:color="000000"/>
              <w:bottom w:val="single" w:sz="6" w:color="000000"/>
              <w:right w:val="single" w:sz="6" w:color="000000"/>
              <w:insideH w:val="single" w:sz="6" w:color="000000"/>
              <w:insideV w:val="single" w:sz="6" w:color="000000"/>
            </w:tcBorders>
          </w:tcPr>
          <w:p>
            <w:r>
              <w:t>1</w:t>
            </w:r>
          </w:p>
        </w:tc>
        <w:tc>
          <w:tcPr>
            <w:tcW w:type="dxa" w:w="1440"/>
            <w:vAlign w:val="center"/>
            <w:tcBorders>
              <w:top w:val="single" w:sz="6" w:color="000000"/>
              <w:left w:val="single" w:sz="6" w:color="000000"/>
              <w:bottom w:val="single" w:sz="6" w:color="000000"/>
              <w:right w:val="single" w:sz="6" w:color="000000"/>
              <w:insideH w:val="single" w:sz="6" w:color="000000"/>
              <w:insideV w:val="single" w:sz="6" w:color="000000"/>
            </w:tcBorders>
          </w:tcPr>
          <w:p>
            <w:r>
              <w:t>1</w:t>
            </w:r>
          </w:p>
        </w:tc>
        <w:tc>
          <w:tcPr>
            <w:tcW w:type="dxa" w:w="1440"/>
            <w:vAlign w:val="center"/>
            <w:tcBorders>
              <w:top w:val="single" w:sz="6" w:color="000000"/>
              <w:left w:val="single" w:sz="6" w:color="000000"/>
              <w:bottom w:val="single" w:sz="6" w:color="000000"/>
              <w:right w:val="single" w:sz="6" w:color="000000"/>
              <w:insideH w:val="single" w:sz="6" w:color="000000"/>
              <w:insideV w:val="single" w:sz="6" w:color="000000"/>
            </w:tcBorders>
          </w:tcPr>
          <w:p>
            <w:r>
              <w:t>1</w:t>
            </w:r>
          </w:p>
        </w:tc>
        <w:tc>
          <w:tcPr>
            <w:tcW w:type="dxa" w:w="1440"/>
            <w:vAlign w:val="center"/>
            <w:tcBorders>
              <w:top w:val="single" w:sz="6" w:color="000000"/>
              <w:left w:val="single" w:sz="6" w:color="000000"/>
              <w:bottom w:val="single" w:sz="6" w:color="000000"/>
              <w:right w:val="single" w:sz="6" w:color="000000"/>
              <w:insideH w:val="single" w:sz="6" w:color="000000"/>
              <w:insideV w:val="single" w:sz="6" w:color="000000"/>
            </w:tcBorders>
          </w:tcPr>
          <w:p>
            <w:r>
              <w:t>1</w:t>
            </w:r>
          </w:p>
        </w:tc>
      </w:tr>
      <w:tr>
        <w:tc>
          <w:tcPr>
            <w:tcW w:type="dxa" w:w="1440"/>
            <w:vAlign w:val="center"/>
            <w:tcBorders>
              <w:top w:val="single" w:sz="6" w:color="000000"/>
              <w:left w:val="single" w:sz="6" w:color="000000"/>
              <w:bottom w:val="single" w:sz="6" w:color="000000"/>
              <w:right w:val="single" w:sz="6" w:color="000000"/>
              <w:insideH w:val="single" w:sz="6" w:color="000000"/>
              <w:insideV w:val="single" w:sz="6" w:color="000000"/>
            </w:tcBorders>
          </w:tcPr>
          <w:p>
            <w:r>
              <w:t>dss.cloture.wizard.line</w:t>
            </w:r>
          </w:p>
        </w:tc>
        <w:tc>
          <w:tcPr>
            <w:tcW w:type="dxa" w:w="1440"/>
            <w:vAlign w:val="center"/>
            <w:tcBorders>
              <w:top w:val="single" w:sz="6" w:color="000000"/>
              <w:left w:val="single" w:sz="6" w:color="000000"/>
              <w:bottom w:val="single" w:sz="6" w:color="000000"/>
              <w:right w:val="single" w:sz="6" w:color="000000"/>
              <w:insideH w:val="single" w:sz="6" w:color="000000"/>
              <w:insideV w:val="single" w:sz="6" w:color="000000"/>
            </w:tcBorders>
          </w:tcPr>
          <w:p>
            <w:r>
              <w:t>DSS / Chef</w:t>
            </w:r>
          </w:p>
        </w:tc>
        <w:tc>
          <w:tcPr>
            <w:tcW w:type="dxa" w:w="1440"/>
            <w:vAlign w:val="center"/>
            <w:tcBorders>
              <w:top w:val="single" w:sz="6" w:color="000000"/>
              <w:left w:val="single" w:sz="6" w:color="000000"/>
              <w:bottom w:val="single" w:sz="6" w:color="000000"/>
              <w:right w:val="single" w:sz="6" w:color="000000"/>
              <w:insideH w:val="single" w:sz="6" w:color="000000"/>
              <w:insideV w:val="single" w:sz="6" w:color="000000"/>
            </w:tcBorders>
          </w:tcPr>
          <w:p>
            <w:r>
              <w:t>1</w:t>
            </w:r>
          </w:p>
        </w:tc>
        <w:tc>
          <w:tcPr>
            <w:tcW w:type="dxa" w:w="1440"/>
            <w:vAlign w:val="center"/>
            <w:tcBorders>
              <w:top w:val="single" w:sz="6" w:color="000000"/>
              <w:left w:val="single" w:sz="6" w:color="000000"/>
              <w:bottom w:val="single" w:sz="6" w:color="000000"/>
              <w:right w:val="single" w:sz="6" w:color="000000"/>
              <w:insideH w:val="single" w:sz="6" w:color="000000"/>
              <w:insideV w:val="single" w:sz="6" w:color="000000"/>
            </w:tcBorders>
          </w:tcPr>
          <w:p>
            <w:r>
              <w:t>1</w:t>
            </w:r>
          </w:p>
        </w:tc>
        <w:tc>
          <w:tcPr>
            <w:tcW w:type="dxa" w:w="1440"/>
            <w:vAlign w:val="center"/>
            <w:tcBorders>
              <w:top w:val="single" w:sz="6" w:color="000000"/>
              <w:left w:val="single" w:sz="6" w:color="000000"/>
              <w:bottom w:val="single" w:sz="6" w:color="000000"/>
              <w:right w:val="single" w:sz="6" w:color="000000"/>
              <w:insideH w:val="single" w:sz="6" w:color="000000"/>
              <w:insideV w:val="single" w:sz="6" w:color="000000"/>
            </w:tcBorders>
          </w:tcPr>
          <w:p>
            <w:r>
              <w:t>1</w:t>
            </w:r>
          </w:p>
        </w:tc>
        <w:tc>
          <w:tcPr>
            <w:tcW w:type="dxa" w:w="1440"/>
            <w:vAlign w:val="center"/>
            <w:tcBorders>
              <w:top w:val="single" w:sz="6" w:color="000000"/>
              <w:left w:val="single" w:sz="6" w:color="000000"/>
              <w:bottom w:val="single" w:sz="6" w:color="000000"/>
              <w:right w:val="single" w:sz="6" w:color="000000"/>
              <w:insideH w:val="single" w:sz="6" w:color="000000"/>
              <w:insideV w:val="single" w:sz="6" w:color="000000"/>
            </w:tcBorders>
          </w:tcPr>
          <w:p>
            <w:r>
              <w:t>1</w:t>
            </w:r>
          </w:p>
        </w:tc>
      </w:tr>
      <w:tr>
        <w:tc>
          <w:tcPr>
            <w:tcW w:type="dxa" w:w="1440"/>
            <w:vAlign w:val="center"/>
            <w:tcBorders>
              <w:top w:val="single" w:sz="6" w:color="000000"/>
              <w:left w:val="single" w:sz="6" w:color="000000"/>
              <w:bottom w:val="single" w:sz="6" w:color="000000"/>
              <w:right w:val="single" w:sz="6" w:color="000000"/>
              <w:insideH w:val="single" w:sz="6" w:color="000000"/>
              <w:insideV w:val="single" w:sz="6" w:color="000000"/>
            </w:tcBorders>
          </w:tcPr>
          <w:p>
            <w:r>
              <w:t>dss.notification.log</w:t>
            </w:r>
          </w:p>
        </w:tc>
        <w:tc>
          <w:tcPr>
            <w:tcW w:type="dxa" w:w="1440"/>
            <w:vAlign w:val="center"/>
            <w:tcBorders>
              <w:top w:val="single" w:sz="6" w:color="000000"/>
              <w:left w:val="single" w:sz="6" w:color="000000"/>
              <w:bottom w:val="single" w:sz="6" w:color="000000"/>
              <w:right w:val="single" w:sz="6" w:color="000000"/>
              <w:insideH w:val="single" w:sz="6" w:color="000000"/>
              <w:insideV w:val="single" w:sz="6" w:color="000000"/>
            </w:tcBorders>
          </w:tcPr>
          <w:p>
            <w:r>
              <w:t>Aucun</w:t>
            </w:r>
          </w:p>
        </w:tc>
        <w:tc>
          <w:tcPr>
            <w:tcW w:type="dxa" w:w="1440"/>
            <w:vAlign w:val="center"/>
            <w:tcBorders>
              <w:top w:val="single" w:sz="6" w:color="000000"/>
              <w:left w:val="single" w:sz="6" w:color="000000"/>
              <w:bottom w:val="single" w:sz="6" w:color="000000"/>
              <w:right w:val="single" w:sz="6" w:color="000000"/>
              <w:insideH w:val="single" w:sz="6" w:color="000000"/>
              <w:insideV w:val="single" w:sz="6" w:color="000000"/>
            </w:tcBorders>
          </w:tcPr>
          <w:p>
            <w:r>
              <w:t>1</w:t>
            </w:r>
          </w:p>
        </w:tc>
        <w:tc>
          <w:tcPr>
            <w:tcW w:type="dxa" w:w="1440"/>
            <w:vAlign w:val="center"/>
            <w:tcBorders>
              <w:top w:val="single" w:sz="6" w:color="000000"/>
              <w:left w:val="single" w:sz="6" w:color="000000"/>
              <w:bottom w:val="single" w:sz="6" w:color="000000"/>
              <w:right w:val="single" w:sz="6" w:color="000000"/>
              <w:insideH w:val="single" w:sz="6" w:color="000000"/>
              <w:insideV w:val="single" w:sz="6" w:color="000000"/>
            </w:tcBorders>
          </w:tcPr>
          <w:p>
            <w:r>
              <w:t>1</w:t>
            </w:r>
          </w:p>
        </w:tc>
        <w:tc>
          <w:tcPr>
            <w:tcW w:type="dxa" w:w="1440"/>
            <w:vAlign w:val="center"/>
            <w:tcBorders>
              <w:top w:val="single" w:sz="6" w:color="000000"/>
              <w:left w:val="single" w:sz="6" w:color="000000"/>
              <w:bottom w:val="single" w:sz="6" w:color="000000"/>
              <w:right w:val="single" w:sz="6" w:color="000000"/>
              <w:insideH w:val="single" w:sz="6" w:color="000000"/>
              <w:insideV w:val="single" w:sz="6" w:color="000000"/>
            </w:tcBorders>
          </w:tcPr>
          <w:p>
            <w:r>
              <w:t>1</w:t>
            </w:r>
          </w:p>
        </w:tc>
        <w:tc>
          <w:tcPr>
            <w:tcW w:type="dxa" w:w="1440"/>
            <w:vAlign w:val="center"/>
            <w:tcBorders>
              <w:top w:val="single" w:sz="6" w:color="000000"/>
              <w:left w:val="single" w:sz="6" w:color="000000"/>
              <w:bottom w:val="single" w:sz="6" w:color="000000"/>
              <w:right w:val="single" w:sz="6" w:color="000000"/>
              <w:insideH w:val="single" w:sz="6" w:color="000000"/>
              <w:insideV w:val="single" w:sz="6" w:color="000000"/>
            </w:tcBorders>
          </w:tcPr>
          <w:p>
            <w:r>
              <w:t>0</w:t>
            </w:r>
          </w:p>
        </w:tc>
      </w:tr>
    </w:tbl>
    <w:p>
      <w:r>
        <w:t xml:space="preserve">Dans l'ACL, un </w:t>
      </w:r>
      <w:r>
        <w:rPr>
          <w:rFonts w:ascii="Courier New" w:hAnsi="Courier New"/>
          <w:sz w:val="18"/>
        </w:rPr>
        <w:t>group_id</w:t>
      </w:r>
      <w:r>
        <w:t xml:space="preserve"> vide n'est pas un groupe DSS implicite : la ligne s'applique aux utilisateurs internes selon la sémantique ACL Odoo. Les droits combinés des autres modules et groupes peuvent s'ajouter.</w:t>
      </w:r>
    </w:p>
    <w:p>
      <w:pPr>
        <w:pStyle w:val="Heading2"/>
      </w:pPr>
      <w:r>
        <w:t>3. Points d'attention</w:t>
      </w:r>
    </w:p>
    <w:p>
      <w:r>
        <w:t xml:space="preserve">Les demandes et lignes ont les quatre permissions activées sans groupe DSS spécifié. Le wizard de rejet et le journal ont également une ACL sans groupe explicite. Les restrictions de boutons et de vues ne réduisent pas ces permissions du modèle. Les ACL de </w:t>
      </w:r>
      <w:r>
        <w:rPr>
          <w:rFonts w:ascii="Courier New" w:hAnsi="Courier New"/>
          <w:sz w:val="18"/>
        </w:rPr>
        <w:t>product.product</w:t>
      </w:r>
      <w:r>
        <w:t xml:space="preserve">, </w:t>
      </w:r>
      <w:r>
        <w:rPr>
          <w:rFonts w:ascii="Courier New" w:hAnsi="Courier New"/>
          <w:sz w:val="18"/>
        </w:rPr>
        <w:t>product.template</w:t>
      </w:r>
      <w:r>
        <w:t xml:space="preserve">, </w:t>
      </w:r>
      <w:r>
        <w:rPr>
          <w:rFonts w:ascii="Courier New" w:hAnsi="Courier New"/>
          <w:sz w:val="18"/>
        </w:rPr>
        <w:t>stock.picking</w:t>
      </w:r>
      <w:r>
        <w:t xml:space="preserve"> et des modèles Odoo standards relèvent également des autres modules.</w:t>
      </w:r>
    </w:p>
    <w:p>
      <w:pPr>
        <w:pStyle w:val="Heading2"/>
      </w:pPr>
      <w:r>
        <w:t>4. Fiche de mémorisation</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Repère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À retenir</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CRUD</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R = lecture, W = écriture, C = création, U dans l'usage courant = suppression ( perm_unlink ).</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Groupe vide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Aucun group_id DSS n'est associé à la ligne; ne pas interpréter cela comme une règle par rôle.</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Vue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Masquer un bouton n'est pas une restriction ACL serveur.</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Source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security/ir.model.access.csv .</w:t>
            </w:r>
          </w:p>
        </w:tc>
      </w:tr>
    </w:tbl>
    <w:p>
      <w:r>
        <w:br w:type="page"/>
      </w:r>
    </w:p>
    <w:p>
      <w:pPr>
        <w:pStyle w:val="Heading1"/>
      </w:pPr>
      <w:r>
        <w:t>02 Regles Enregistrement</w:t>
      </w:r>
    </w:p>
    <w:p>
      <w:pPr>
        <w:pStyle w:val="Heading1"/>
      </w:pPr>
      <w:r>
        <w:t>Règles d'enregistrement</w:t>
      </w:r>
    </w:p>
    <w:p>
      <w:pPr>
        <w:pStyle w:val="Heading2"/>
      </w:pPr>
      <w:r>
        <w:t>1. Rôle</w:t>
      </w:r>
    </w:p>
    <w:p>
      <w:r>
        <w:t>Une règle d'enregistrement (</w:t>
      </w:r>
      <w:r>
        <w:rPr>
          <w:rFonts w:ascii="Courier New" w:hAnsi="Courier New"/>
          <w:sz w:val="18"/>
        </w:rPr>
        <w:t>ir.rule</w:t>
      </w:r>
      <w:r>
        <w:t>) filtre les enregistrements accessibles selon un domaine. Elle intervient au-delà des permissions CRUD accordées par les ACL.</w:t>
      </w:r>
    </w:p>
    <w:p>
      <w:pPr>
        <w:pStyle w:val="Heading2"/>
      </w:pPr>
      <w:r>
        <w:t>2. Déclarations dans le module</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Fichier audité</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Déclaration trouvée</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security/dss_security.xml</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Catégorie et groupes res.groups ; aucune donnée ir.rule .</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security/ir.model.access.csv</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ACL de modèles, pas des record rules.</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views/dss_group_menus.xml</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Domaine de menu Demandeur et domaine fixe du menu Sécurité; filtres de navigation.</w:t>
            </w:r>
          </w:p>
        </w:tc>
      </w:tr>
    </w:tbl>
    <w:p>
      <w:r>
        <w:t>Les domaines de recherche et d'action n'empêchent pas un accès à un enregistrement par un autre chemin si les droits ORM le permettent. Cette documentation ne conclut pas sur les règles fournies par d'autres modules Odoo ou par la base installée.</w:t>
      </w:r>
    </w:p>
    <w:p>
      <w:pPr>
        <w:pStyle w:val="Heading2"/>
      </w:pPr>
      <w:r>
        <w:t>3. Différence avec les ACL</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Mécanisme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Question traitée</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ACL ( ir.model.access )</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L'utilisateur peut-il lire, écrire, créer ou supprimer ce modèle ?</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Record rule ( ir.rule )</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Quels enregistrements de ce modèle peut-il lire ou modifier ?</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groups de vue / attrs</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Quels éléments l'interface affiche-t-elle ou rend-elle éditables ?</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Domaine d'action</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Quels enregistrements sont présentés par cette action de menu ?</w:t>
            </w:r>
          </w:p>
        </w:tc>
      </w:tr>
    </w:tbl>
    <w:p>
      <w:pPr>
        <w:pStyle w:val="Heading2"/>
      </w:pPr>
      <w:r>
        <w:t>4. Fiche de mémorisation</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Repère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À retenir</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État du module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Aucune record rule DSS n'est déclarée dans les fichiers audités.</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Filtrage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Les filtres et menus ne remplacent pas les record rules.</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Vérification</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Les règles effectives d'une base installée peuvent venir d'autres modules.</w:t>
            </w:r>
          </w:p>
        </w:tc>
      </w:tr>
    </w:tbl>
    <w:p>
      <w:r>
        <w:br w:type="page"/>
      </w:r>
    </w:p>
    <w:p>
      <w:pPr>
        <w:pStyle w:val="Heading1"/>
      </w:pPr>
      <w:r>
        <w:t>00 Tests Notifications</w:t>
      </w:r>
    </w:p>
    <w:p>
      <w:pPr>
        <w:pStyle w:val="Heading1"/>
      </w:pPr>
      <w:r>
        <w:t>Tests des notifications</w:t>
      </w:r>
    </w:p>
    <w:p>
      <w:pPr>
        <w:pStyle w:val="Heading2"/>
      </w:pPr>
      <w:r>
        <w:t>1. Fichier et périmètre</w:t>
      </w:r>
    </w:p>
    <w:p>
      <w:r>
        <w:t xml:space="preserve">Le manifeste déclare </w:t>
      </w:r>
      <w:r>
        <w:rPr>
          <w:rFonts w:ascii="Courier New" w:hAnsi="Courier New"/>
          <w:sz w:val="18"/>
        </w:rPr>
        <w:t>tests/test_dss_notifications.py</w:t>
      </w:r>
      <w:r>
        <w:t xml:space="preserve">. Ce fichier utilise </w:t>
      </w:r>
      <w:r>
        <w:rPr>
          <w:rFonts w:ascii="Courier New" w:hAnsi="Courier New"/>
          <w:sz w:val="18"/>
        </w:rPr>
        <w:t>odoo.tests.common.TransactionCase</w:t>
      </w:r>
      <w:r>
        <w:t xml:space="preserve"> et vérifie le routage, le journal et le rendu des courriels. Les tests n'envoient pas de message à un serveur SMTP; les adresses utilisées sont sous le domaine réservé </w:t>
      </w:r>
      <w:r>
        <w:rPr>
          <w:rFonts w:ascii="Courier New" w:hAnsi="Courier New"/>
          <w:sz w:val="18"/>
        </w:rPr>
        <w:t>.invalid</w:t>
      </w:r>
      <w:r>
        <w:t>.</w:t>
      </w:r>
    </w:p>
    <w:p>
      <w:pPr>
        <w:pStyle w:val="Heading2"/>
      </w:pPr>
      <w:r>
        <w:t>2. Cas couverts</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Test</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Objet vérifié</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test_group_email_resolution_ignores_missing_email</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Le groupe Chef existe et les adresses retournées sont uniques.</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test_missing_recipient_does_not_create_mail_or_log</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Aucun destinataire ne produit ni mail ni journal.</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test_mail_is_queued_without_sending</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Mail en état outgoing , autonome du chatter, journal lié à la demande et absence de ligne motif pour une soumission.</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test_same_event_is_not_queued_twice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Une même paire demande/événement n'est pas créée deux fois par la méthode.</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test_notification_event_keys_are_unique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La contrainte SQL rejette un doublon demande/événement.</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test_approval_uses_one_event_for_both_entry_points</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Vérifie seulement l'absence initiale de journal stock_approval ; il ne teste pas les deux points d'entrée annoncés par son nom.</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test_rejection_keeps_motif_in_notification_context</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Le motif fourni apparaît dans le corps rendu du mail de rejet.</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test_return_to_requester_email_contains_rejection_motif</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Destinataire demandeur et motif inclus dans le courriel de renvoi.</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test_security_is_not_notified_without_a_real_dss_security_transition</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L'action d'approbation Stock ne crée pas de clé d'événement security .</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test_rejection_mapping_is_explicit</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Vérifie seulement l'état brouillon par défaut et l'absence de motif initial.</w:t>
            </w:r>
          </w:p>
        </w:tc>
      </w:tr>
    </w:tbl>
    <w:p>
      <w:r>
        <w:t>Les deux tests signalés avec « seulement » ont des assertions plus étroites que leur nom ne le suggère.</w:t>
      </w:r>
    </w:p>
    <w:p>
      <w:pPr>
        <w:pStyle w:val="Heading2"/>
      </w:pPr>
      <w:r>
        <w:t>3. Exécution</w:t>
      </w:r>
    </w:p>
    <w:p>
      <w:r>
        <w:t>L'exécution doit se faire avec le lanceur et l'interpréteur de l'installation Odoo 10, sur une base de test. Exemple de commande à adapter à cette installation :</w:t>
      </w:r>
    </w:p>
    <w:p>
      <w:pPr>
        <w:pStyle w:val="CodeBlock"/>
        <w:spacing w:before="80" w:after="80"/>
        <w:ind w:left="288" w:right="288"/>
        <w:shd w:fill="F2F2F2"/>
      </w:pPr>
      <w:r>
        <w:t>[bash]</w:t>
        <w:br/>
        <w:t>python odoo-bin -c odoo.conf -d BASE_DE_TEST -u dss_v2 --test-enable --stop-after-init</w:t>
      </w:r>
    </w:p>
    <w:p>
      <w:r>
        <w:t>L'audit documentaire n'a pas exécuté Odoo ni cette commande; le résultat des tests n'est donc pas certifié ici.</w:t>
      </w:r>
    </w:p>
    <w:p>
      <w:pPr>
        <w:pStyle w:val="Heading2"/>
      </w:pPr>
      <w:r>
        <w:t>4. Fiche de mémorisation</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Repère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À retenir</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Couverture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Les tests portent sur les notifications, pas sur l'ensemble du workflow, des mouvements ou des PDF.</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SMTP</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Aucun e-mail réel n'est envoyé par ces tests.</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Résultat</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Toujours lire le résultat du test runner de l'environnement ciblé.</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Source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tests/test_dss_notifications.py , entrée dans __manifest__.py .</w:t>
            </w:r>
          </w:p>
        </w:tc>
      </w:tr>
    </w:tbl>
    <w:p>
      <w:r>
        <w:br w:type="page"/>
      </w:r>
    </w:p>
    <w:p>
      <w:pPr>
        <w:pStyle w:val="Heading1"/>
      </w:pPr>
      <w:r>
        <w:t>00 Depannage</w:t>
      </w:r>
    </w:p>
    <w:p>
      <w:pPr>
        <w:pStyle w:val="Heading1"/>
      </w:pPr>
      <w:r>
        <w:t>Dépannage</w:t>
      </w:r>
    </w:p>
    <w:p>
      <w:pPr>
        <w:pStyle w:val="Heading2"/>
      </w:pPr>
      <w:r>
        <w:t>1. PDF blanc ou incomplet</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Symptôme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Vérifications dans le module et l'environnement</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PDF vide alors que le HTML est rendu</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Vérifier les journaux Odoo, l'exécutable wkhtmltopdf réellement lancé et les fichiers HTML transmis. Le moteur PDF et sa version dépendent de l'installation.</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Format ou orientation inattendus</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Contrôler paperformat_dss_a5 , l'action du rapport et le contexte utilisé par _generer_bon_livraison() . Pour un problème d'espacement vertical, vérifier ensemble margin_top (réserve supérieure de page) et header_spacing (espacement/décalage du contenu par rapport à l'en-tête) : augmenter ce dernier éloigne le corps, le diminuer peut créer un chevauchement.</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Styles absents</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Contrôler le chargement de report_bl_server.css via report.assets_common et l'URL /dss_v2/static/src/css/report_bl_server.css .</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Erreur 500 MissingError sur o.partner_id.name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Vérifier d'abord que l'action de rapport QWeb correcte est appelée et que son modèle est bien dss.request . Si l'erreur subsiste avec la bonne action, contrôler le partenaire de la demande concernée et les enregistrements supprimés ou restaurés dans la base.</w:t>
            </w:r>
          </w:p>
        </w:tc>
      </w:tr>
    </w:tbl>
    <w:p>
      <w:pPr>
        <w:pStyle w:val="Heading3"/>
      </w:pPr>
      <w:r>
        <w:t>Action de rapport obsolète après changement ou restauration de base</w:t>
      </w:r>
    </w:p>
    <w:p>
      <w:r>
        <w:t xml:space="preserve">Un incident de déploiement a été résolu après suppression, dans </w:t>
      </w:r>
      <w:r>
        <w:rPr>
          <w:b/>
        </w:rPr>
        <w:t>Technique &gt; Rapports &gt; Rapports</w:t>
      </w:r>
      <w:r>
        <w:t xml:space="preserve">, d'une entrée « Bon de livraison » dont le modèle technique affiché était </w:t>
      </w:r>
      <w:r>
        <w:rPr>
          <w:rFonts w:ascii="Courier New" w:hAnsi="Courier New"/>
          <w:sz w:val="18"/>
        </w:rPr>
        <w:t>dss_v2_report_bon_livraison_documentation</w:t>
      </w:r>
      <w:r>
        <w:t xml:space="preserve">, puis mise à niveau de </w:t>
      </w:r>
      <w:r>
        <w:rPr>
          <w:rFonts w:ascii="Courier New" w:hAnsi="Courier New"/>
          <w:sz w:val="18"/>
        </w:rPr>
        <w:t>dss_v2</w:t>
      </w:r>
      <w:r>
        <w:t xml:space="preserve"> et nouvel essai d'impression. Le bon a alors retrouvé son rendu attendu.</w:t>
      </w:r>
    </w:p>
    <w:p>
      <w:r>
        <w:t>La cause exacte des données présentes dans cette base n'a pas été établie. L'explication la plus probable est une ancienne action de rapport QWeb créée ou conservée dans la base, avec un nom technique qui ne correspond plus au rapport déclaré par le module. Un changement de base ne modifie pas en soi le code du module : chaque base possède ses propres enregistrements Odoo (actions de rapport, vues QWeb et identifiants externes), lesquels peuvent être absents, obsolètes ou différents après restauration, migration ou installation manuelle.</w:t>
      </w:r>
    </w:p>
    <w:p>
      <w:r>
        <w:t xml:space="preserve">Dans le code du module, la déclaration de référence est dans </w:t>
      </w:r>
      <w:r>
        <w:rPr>
          <w:rFonts w:ascii="Courier New" w:hAnsi="Courier New"/>
          <w:sz w:val="18"/>
        </w:rPr>
        <w:t>report/dss_report.xml</w:t>
      </w:r>
      <w:r>
        <w:t xml:space="preserve"> :</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Propriété</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Valeur attendue</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Libellé</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Bon de Livraison</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Modèle métier</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dss.request</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Type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qweb-pdf</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Nom du rapport QWeb / report_name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dss_v2.report_bon_livraison_document</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Fichier du rapport / report_file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dss_v2.report_bon_livraison_document</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Identifiant XML de l'action</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dss_v2.action_report_bon_livraison</w:t>
            </w:r>
          </w:p>
        </w:tc>
      </w:tr>
    </w:tbl>
    <w:p>
      <w:r>
        <w:t>En cas de reproduction après un changement de base :</w:t>
      </w:r>
    </w:p>
    <w:p>
      <w:pPr>
        <w:pStyle w:val="ListNumber"/>
      </w:pPr>
      <w:r>
        <w:t>Confirmer la base sélectionnée et effectuer une sauvegarde de la base avant toute suppression ou mise à niveau.</w:t>
      </w:r>
    </w:p>
    <w:p>
      <w:pPr>
        <w:pStyle w:val="ListNumber"/>
      </w:pPr>
      <w:r>
        <w:t xml:space="preserve">Ouvrir </w:t>
      </w:r>
      <w:r>
        <w:rPr>
          <w:b/>
        </w:rPr>
        <w:t>Activer le mode développeur &gt; Paramètres &gt; Technique &gt; Rapports &gt; Rapports</w:t>
      </w:r>
      <w:r>
        <w:t xml:space="preserve"> et rechercher « Bon de livraison ».</w:t>
      </w:r>
    </w:p>
    <w:p>
      <w:pPr>
        <w:pStyle w:val="ListNumber"/>
      </w:pPr>
      <w:r>
        <w:t>Comparer les actions trouvées avec les valeurs de référence ci-dessus. Vérifier également qu'une action en doublon ou une action manuelle ne pointe pas vers un modèle ou un rapport QWeb obsolète.</w:t>
      </w:r>
    </w:p>
    <w:p>
      <w:pPr>
        <w:pStyle w:val="ListNumber"/>
      </w:pPr>
      <w:r>
        <w:t xml:space="preserve">Si une entrée manifestement obsolète ou en doublon est identifiée, noter ses valeurs et son identifiant, puis ne supprimer que cette action de rapport fautive. Ne pas supprimer le template QWeb </w:t>
      </w:r>
      <w:r>
        <w:rPr>
          <w:rFonts w:ascii="Courier New" w:hAnsi="Courier New"/>
          <w:sz w:val="18"/>
        </w:rPr>
        <w:t>dss_v2.report_bon_livraison_document</w:t>
      </w:r>
      <w:r>
        <w:t>, les demandes DSS ni les données de partenaires.</w:t>
      </w:r>
    </w:p>
    <w:p>
      <w:pPr>
        <w:pStyle w:val="ListNumber"/>
      </w:pPr>
      <w:r>
        <w:t xml:space="preserve">Mettre à niveau </w:t>
      </w:r>
      <w:r>
        <w:rPr>
          <w:rFonts w:ascii="Courier New" w:hAnsi="Courier New"/>
          <w:sz w:val="18"/>
        </w:rPr>
        <w:t>dss_v2</w:t>
      </w:r>
      <w:r>
        <w:t xml:space="preserve"> sur la base concernée afin que l'action déclarée dans le XML soit chargée, puis vérifier ses champs et réimprimer le PDF.</w:t>
      </w:r>
    </w:p>
    <w:p>
      <w:pPr>
        <w:pStyle w:val="ListNumber"/>
      </w:pPr>
      <w:r>
        <w:t xml:space="preserve">Si l'action correcte existe déjà ou si l'erreur persiste, examiner la trace complète et les relations de la demande; ne pas utiliser la suppression d'action comme remède générique à un </w:t>
      </w:r>
      <w:r>
        <w:rPr>
          <w:rFonts w:ascii="Courier New" w:hAnsi="Courier New"/>
          <w:sz w:val="18"/>
        </w:rPr>
        <w:t>MissingError</w:t>
      </w:r>
      <w:r>
        <w:t xml:space="preserve"> de partenaire.</w:t>
      </w:r>
    </w:p>
    <w:p>
      <w:r>
        <w:t>La suppression de l'action suivie d'une mise à niveau est une technique de dépannage observée pour cet incident, pas une étape de maintenance systématique. Préférer d'abord la sauvegarde et l'inspection, car les actions de rapports et leurs identifiants externes sont des données de configuration de la base.</w:t>
      </w:r>
    </w:p>
    <w:p>
      <w:r>
        <w:t xml:space="preserve">Un ancien compte rendu du projet attribue un PDF blanc sur l'environnement Windows étudié à l'option </w:t>
      </w:r>
      <w:r>
        <w:rPr>
          <w:rFonts w:ascii="Courier New" w:hAnsi="Courier New"/>
          <w:sz w:val="18"/>
        </w:rPr>
        <w:t>--dpi 96</w:t>
      </w:r>
      <w:r>
        <w:t xml:space="preserve"> avec wkhtmltopdf 0.12.1.2; le format DSS a alors été réglé à </w:t>
      </w:r>
      <w:r>
        <w:rPr>
          <w:rFonts w:ascii="Courier New" w:hAnsi="Courier New"/>
          <w:sz w:val="18"/>
        </w:rPr>
        <w:t>dpi=0</w:t>
      </w:r>
      <w:r>
        <w:t>. Il s'agit d'un constat d'environnement, pas d'une garantie que cette cause vaut pour toute installation.</w:t>
      </w:r>
    </w:p>
    <w:p>
      <w:pPr>
        <w:pStyle w:val="Heading2"/>
      </w:pPr>
      <w:r>
        <w:t>2. Déploiement du rapport sur Debian</w:t>
      </w:r>
    </w:p>
    <w:p>
      <w:r>
        <w:t>Procéder étape par étape et conserver une copie des fichiers distants avant leur remplacement.</w:t>
      </w:r>
    </w:p>
    <w:p>
      <w:pPr>
        <w:pStyle w:val="Heading3"/>
      </w:pPr>
      <w:r>
        <w:t>2.1 Sauvegarde des fichiers distants sur le poste</w:t>
      </w:r>
    </w:p>
    <w:p>
      <w:r>
        <w:t>Depuis PowerShell, adapter la cible SSH et le dossier local de sauvegarde :</w:t>
      </w:r>
    </w:p>
    <w:p>
      <w:pPr>
        <w:pStyle w:val="CodeBlock"/>
        <w:spacing w:before="80" w:after="80"/>
        <w:ind w:left="288" w:right="288"/>
        <w:shd w:fill="F2F2F2"/>
      </w:pPr>
      <w:r>
        <w:t>[powershell]</w:t>
        <w:br/>
        <w:t>scp -O utilisateur@serveur:/chemin/addons/dss_v2/report/dss_report.xml C:\chemin\sauvegarde\dss_report.xml.server.bak</w:t>
        <w:br/>
        <w:t>scp -O utilisateur@serveur:/chemin/addons/dss_v2/static/src/css/report_bl_server.css C:\chemin\sauvegarde\report_bl_server.css.server.bak</w:t>
      </w:r>
    </w:p>
    <w:p>
      <w:pPr>
        <w:pStyle w:val="Heading3"/>
      </w:pPr>
      <w:r>
        <w:t>2.2 Copier vers /tmp , puis installer avec sudo</w:t>
      </w:r>
    </w:p>
    <w:p>
      <w:r>
        <w:t xml:space="preserve">Si le compte SSH ne peut pas écrire dans le dossier des addons, transférer d'abord les fichiers vers </w:t>
      </w:r>
      <w:r>
        <w:rPr>
          <w:rFonts w:ascii="Courier New" w:hAnsi="Courier New"/>
          <w:sz w:val="18"/>
        </w:rPr>
        <w:t>/tmp</w:t>
      </w:r>
      <w:r>
        <w:t xml:space="preserve">. Le mode </w:t>
      </w:r>
      <w:r>
        <w:rPr>
          <w:rFonts w:ascii="Courier New" w:hAnsi="Courier New"/>
          <w:sz w:val="18"/>
        </w:rPr>
        <w:t>-O</w:t>
      </w:r>
      <w:r>
        <w:t xml:space="preserve"> force le protocole SCP historique si le serveur ne prend pas en charge SFTP :</w:t>
      </w:r>
    </w:p>
    <w:p>
      <w:pPr>
        <w:pStyle w:val="CodeBlock"/>
        <w:spacing w:before="80" w:after="80"/>
        <w:ind w:left="288" w:right="288"/>
        <w:shd w:fill="F2F2F2"/>
      </w:pPr>
      <w:r>
        <w:t>[powershell]</w:t>
        <w:br/>
        <w:t>scp -O C:\chemin\local\dss_report.xml utilisateur@serveur:/tmp/dss_report.xml</w:t>
        <w:br/>
        <w:t>scp -O C:\chemin\local\report_bl_server.css utilisateur@serveur:/tmp/report_bl_server.css</w:t>
        <w:br/>
        <w:t>ssh -t utilisateur@serveur "sudo cp /tmp/dss_report.xml /chemin/addons/dss_v2/report/dss_report.xml &amp;&amp; sudo cp /tmp/report_bl_server.css /chemin/addons/dss_v2/static/src/css/report_bl_server.css"</w:t>
      </w:r>
    </w:p>
    <w:p>
      <w:r>
        <w:rPr>
          <w:rFonts w:ascii="Courier New" w:hAnsi="Courier New"/>
          <w:sz w:val="18"/>
        </w:rPr>
        <w:t>ssh -t</w:t>
      </w:r>
      <w:r>
        <w:t xml:space="preserve"> alloue un terminal pour permettre à </w:t>
      </w:r>
      <w:r>
        <w:rPr>
          <w:rFonts w:ascii="Courier New" w:hAnsi="Courier New"/>
          <w:sz w:val="18"/>
        </w:rPr>
        <w:t>sudo</w:t>
      </w:r>
      <w:r>
        <w:t xml:space="preserve"> de demander son mot de passe. Ne pas mettre le mot de passe dans la commande ou dans la documentation.</w:t>
      </w:r>
    </w:p>
    <w:p>
      <w:pPr>
        <w:pStyle w:val="Heading3"/>
      </w:pPr>
      <w:r>
        <w:t>2.3 Vérifier l'intégrité, mettre à niveau et tester</w:t>
      </w:r>
    </w:p>
    <w:p>
      <w:r>
        <w:t>Comparer les SHA-256 locaux et distants avant de recharger Odoo :</w:t>
      </w:r>
    </w:p>
    <w:p>
      <w:pPr>
        <w:pStyle w:val="CodeBlock"/>
        <w:spacing w:before="80" w:after="80"/>
        <w:ind w:left="288" w:right="288"/>
        <w:shd w:fill="F2F2F2"/>
      </w:pPr>
      <w:r>
        <w:t>[powershell]</w:t>
        <w:br/>
        <w:t>Get-FileHash C:\chemin\local\dss_report.xml -Algorithm SHA256</w:t>
        <w:br/>
        <w:t>Get-FileHash C:\chemin\local\report_bl_server.css -Algorithm SHA256</w:t>
        <w:br/>
        <w:t>ssh utilisateur@serveur "sha256sum /chemin/addons/dss_v2/report/dss_report.xml /chemin/addons/dss_v2/static/src/css/report_bl_server.css"</w:t>
      </w:r>
    </w:p>
    <w:p>
      <w:r>
        <w:t>Les valeurs doivent correspondre fichier par fichier. Ensuite, redémarrer le service réellement utilisé et mettre à niveau le module dans la base serveur, par l'interface Applications ou par une commande Odoo utilisant explicitement le fichier de configuration et la base corrects. Un simple redémarrage ne recharge pas les vues QWeb XML enregistrées en base. Enfin, imprimer un PDF et vérifier le rendu avec la version de wkhtmltopdf du serveur.</w:t>
      </w:r>
    </w:p>
    <w:p>
      <w:r>
        <w:rPr>
          <w:b/>
        </w:rPr>
        <w:t>État de la session de déploiement :</w:t>
      </w:r>
      <w:r>
        <w:t xml:space="preserve"> les anciennes versions serveur ont été sauvegardées puis remplacées par les versions locales disponibles à ce moment-là; leurs SHA-256 correspondaient après la copie. Le redémarrage de </w:t>
      </w:r>
      <w:r>
        <w:rPr>
          <w:rFonts w:ascii="Courier New" w:hAnsi="Courier New"/>
          <w:sz w:val="18"/>
        </w:rPr>
        <w:t>odoo.service</w:t>
      </w:r>
      <w:r>
        <w:t xml:space="preserve"> a été demandé. Lors de l'incident ultérieur, l'encadreur a supprimé l'entrée de rapport au modèle technique incorrect, mis à niveau le module et retesté l'impression; le rendu est alors revenu à la normale, selon son retour. Le statut actuel du service n'a pas été vérifié séparément. Le CSS local a ensuite reçu </w:t>
      </w:r>
      <w:r>
        <w:rPr>
          <w:rFonts w:ascii="Courier New" w:hAnsi="Courier New"/>
          <w:sz w:val="18"/>
        </w:rPr>
        <w:t>margin-top: 10px</w:t>
      </w:r>
      <w:r>
        <w:t xml:space="preserve"> sur </w:t>
      </w:r>
      <w:r>
        <w:rPr>
          <w:rFonts w:ascii="Courier New" w:hAnsi="Courier New"/>
          <w:sz w:val="18"/>
        </w:rPr>
        <w:t>.dss-info</w:t>
      </w:r>
      <w:r>
        <w:t xml:space="preserve">, puis la marge supérieure du papier A5 et </w:t>
      </w:r>
      <w:r>
        <w:rPr>
          <w:rFonts w:ascii="Courier New" w:hAnsi="Courier New"/>
          <w:sz w:val="18"/>
        </w:rPr>
        <w:t>header_spacing</w:t>
      </w:r>
      <w:r>
        <w:t xml:space="preserve"> ont été réglés à 15 mm. Ces changements récents ne sont pas confirmés sur le serveur et doivent être déployés et vérifiés.</w:t>
      </w:r>
    </w:p>
    <w:p>
      <w:pPr>
        <w:pStyle w:val="Heading2"/>
      </w:pPr>
      <w:r>
        <w:t>3. Notification non reçue</w:t>
      </w:r>
    </w:p>
    <w:p>
      <w:r>
        <w:t xml:space="preserve">Vérifier d'abord si un </w:t>
      </w:r>
      <w:r>
        <w:rPr>
          <w:rFonts w:ascii="Courier New" w:hAnsi="Courier New"/>
          <w:sz w:val="18"/>
        </w:rPr>
        <w:t>dss.notification.log</w:t>
      </w:r>
      <w:r>
        <w:t xml:space="preserve"> et un </w:t>
      </w:r>
      <w:r>
        <w:rPr>
          <w:rFonts w:ascii="Courier New" w:hAnsi="Courier New"/>
          <w:sz w:val="18"/>
        </w:rPr>
        <w:t>mail.mail</w:t>
      </w:r>
      <w:r>
        <w:t xml:space="preserve"> existent, puis l'état du mail, les destinataires résolus, le serveur SMTP et les journaux Odoo. Le module crée le courriel en file sans l'envoyer immédiatement. Voir </w:t>
      </w:r>
      <w:r>
        <w:rPr>
          <w:color w:val="2E75B6"/>
          <w:u w:val="single"/>
        </w:rPr>
        <w:t>courriels et SMTP</w:t>
      </w:r>
      <w:r>
        <w:t>.</w:t>
      </w:r>
    </w:p>
    <w:p>
      <w:pPr>
        <w:pStyle w:val="Heading2"/>
      </w:pPr>
      <w:r>
        <w:t>4. Problèmes de chargement ou d'action</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Symptôme possible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Élément source à contrôler</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Action de wizard introuvable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action_open_wizard_approuver() référence dss.validation.approuver.wizard , non déclaré dans les fichiers Python recensés; aucun bouton ne l'appelle dans la vue principale.</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État de picking inattendu</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action_soumettre_dss() écrit soumis , qui n'est pas une option de dss_validation_state .</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Numéro picking /</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L'extension cherche ir.sequence de code dss.number ; aucune séquence de ce code n'est déclarée dans les données de ce module.</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Refus de soumission</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Lire le message ValidationError de action_soumettre() et vérifier les champs et lignes requis.</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Refus de mouvement</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Lire l'erreur de quantité du modèle stock et contrôler l'emplacement source et les quantités saisies.</w:t>
            </w:r>
          </w:p>
        </w:tc>
      </w:tr>
    </w:tbl>
    <w:p>
      <w:pPr>
        <w:pStyle w:val="Heading2"/>
      </w:pPr>
      <w:r>
        <w:t>5. Fiche de mémorisation</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Repère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À retenir</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Diagnostic</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Partir de l'enregistrement Odoo, des journaux et des fichiers de configuration réellement chargés.</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Environnement</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Les observations PDF historiques sont spécifiques à une machine et à sa version wkhtmltopdf.</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Secrets</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Ne pas copier de paramètres d'accès, mots de passe ou jetons dans les rapports de diagnostic.</w:t>
            </w:r>
          </w:p>
        </w:tc>
      </w:tr>
    </w:tbl>
    <w:p>
      <w:r>
        <w:br w:type="page"/>
      </w:r>
    </w:p>
    <w:p>
      <w:pPr>
        <w:pStyle w:val="Heading1"/>
      </w:pPr>
      <w:r>
        <w:t>01 Migrations</w:t>
      </w:r>
    </w:p>
    <w:p>
      <w:pPr>
        <w:pStyle w:val="Heading1"/>
      </w:pPr>
      <w:r>
        <w:t>Migrations de données</w:t>
      </w:r>
    </w:p>
    <w:p>
      <w:pPr>
        <w:pStyle w:val="Heading2"/>
      </w:pPr>
      <w:r>
        <w:t>1. Rôle du dossier</w:t>
      </w:r>
    </w:p>
    <w:p>
      <w:r>
        <w:t xml:space="preserve">Le module contient un script de migration dans </w:t>
      </w:r>
      <w:r>
        <w:rPr>
          <w:rFonts w:ascii="Courier New" w:hAnsi="Courier New"/>
          <w:sz w:val="18"/>
        </w:rPr>
        <w:t>migrations/2.2/</w:t>
      </w:r>
      <w:r>
        <w:t>. L'audit des fichiers ne recense pas d'autres scripts de migration dans ce dossier.</w:t>
      </w:r>
    </w:p>
    <w:p>
      <w:pPr>
        <w:pStyle w:val="Heading2"/>
      </w:pPr>
      <w:r>
        <w:t>2. Script présent</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Chemin</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Fonction constatée</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migrations/2.2/pre-rename-paperformat-xmlid.py</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Renomme dans ir_model_data l'identifiant externe dss_v2.paperformat_dss_a4 en dss_v2.paperformat_dss_a5 si le nouvel identifiant n'existe pas déjà.</w:t>
            </w:r>
          </w:p>
        </w:tc>
      </w:tr>
    </w:tbl>
    <w:p>
      <w:r>
        <w:t xml:space="preserve">La requête SQL cible le module </w:t>
      </w:r>
      <w:r>
        <w:rPr>
          <w:rFonts w:ascii="Courier New" w:hAnsi="Courier New"/>
          <w:sz w:val="18"/>
        </w:rPr>
        <w:t>dss_v2</w:t>
      </w:r>
      <w:r>
        <w:t xml:space="preserve"> et le modèle </w:t>
      </w:r>
      <w:r>
        <w:rPr>
          <w:rFonts w:ascii="Courier New" w:hAnsi="Courier New"/>
          <w:sz w:val="18"/>
        </w:rPr>
        <w:t>report.paperformat</w:t>
      </w:r>
      <w:r>
        <w:t xml:space="preserve">. Elle ne crée pas un deuxième format papier; elle modifie le nom de l'identifiant externe existant. Si l'identifiant cible existe déjà, la condition </w:t>
      </w:r>
      <w:r>
        <w:rPr>
          <w:rFonts w:ascii="Courier New" w:hAnsi="Courier New"/>
          <w:sz w:val="18"/>
        </w:rPr>
        <w:t>NOT EXISTS</w:t>
      </w:r>
      <w:r>
        <w:t xml:space="preserve"> empêche le renommage.</w:t>
      </w:r>
    </w:p>
    <w:p>
      <w:pPr>
        <w:pStyle w:val="Heading2"/>
      </w:pPr>
      <w:r>
        <w:t>3. Version et exécution</w:t>
      </w:r>
    </w:p>
    <w:p>
      <w:r>
        <w:t xml:space="preserve">Le répertoire porte le nom </w:t>
      </w:r>
      <w:r>
        <w:rPr>
          <w:rFonts w:ascii="Courier New" w:hAnsi="Courier New"/>
          <w:sz w:val="18"/>
        </w:rPr>
        <w:t>2.2</w:t>
      </w:r>
      <w:r>
        <w:t xml:space="preserve">, tandis que le manifeste actuel indique la version </w:t>
      </w:r>
      <w:r>
        <w:rPr>
          <w:rFonts w:ascii="Courier New" w:hAnsi="Courier New"/>
          <w:sz w:val="18"/>
        </w:rPr>
        <w:t>2.4</w:t>
      </w:r>
      <w:r>
        <w:t xml:space="preserve">. Le contenu du script seul ne permet pas de conclure sur les bases où il a effectivement été exécuté ni sur l'historique complet des migrations. Vérifier les conventions de migration de l'instance Odoo et l'état des </w:t>
      </w:r>
      <w:r>
        <w:rPr>
          <w:rFonts w:ascii="Courier New" w:hAnsi="Courier New"/>
          <w:sz w:val="18"/>
        </w:rPr>
        <w:t>ir.model.data</w:t>
      </w:r>
      <w:r>
        <w:t xml:space="preserve"> avant toute intervention sur une base.</w:t>
      </w:r>
    </w:p>
    <w:p>
      <w:pPr>
        <w:pStyle w:val="Heading2"/>
      </w:pPr>
      <w:r>
        <w:t>4. Fiche de mémorisation</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Repère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À retenir</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Migration trouvée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Renommage conditionnel de l'XML ID du paperformat.</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Prudence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Le script n'est pas une procédure de restauration; sauvegarder la base selon les pratiques d'exploitation avant migration.</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Source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migrations/2.2/pre-rename-paperformat-xmlid.py .</w:t>
            </w:r>
          </w:p>
        </w:tc>
      </w:tr>
    </w:tbl>
    <w:p>
      <w:r>
        <w:br w:type="page"/>
      </w:r>
    </w:p>
    <w:p>
      <w:pPr>
        <w:pStyle w:val="Heading1"/>
      </w:pPr>
      <w:r>
        <w:t>02 Refactorisation</w:t>
      </w:r>
    </w:p>
    <w:p>
      <w:pPr>
        <w:pStyle w:val="Heading1"/>
      </w:pPr>
      <w:r>
        <w:t>Organisation du code</w:t>
      </w:r>
    </w:p>
    <w:p>
      <w:pPr>
        <w:pStyle w:val="Heading2"/>
      </w:pPr>
      <w:r>
        <w:t>1. Répartition actuelle</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Responsabilité</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Fichier</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Champs d'en-tête, calcul du sens et création numérotée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models/dss_request.py</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Lignes d'articles et quantité standard</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models/dss_request_line.py</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Actions du workflow principal</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models/dss_request_workflow.py</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Mouvements stock de sortie, entrée et transfert</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models/dss_request_stock.py</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Rapport PDF et pièce jointe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models/dss_request_bon_livraison.py</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Notifications et journal</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models/dss_notification.py</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Wizards</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models/dss_*_wizard.py</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Extensions des modèles standard</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models/product_product.py , product_template.py , stock_picking.py</w:t>
            </w:r>
          </w:p>
        </w:tc>
      </w:tr>
    </w:tbl>
    <w:p>
      <w:pPr>
        <w:pStyle w:val="Heading2"/>
      </w:pPr>
      <w:r>
        <w:t>2. Chargement des extensions</w:t>
      </w:r>
    </w:p>
    <w:p>
      <w:r>
        <w:rPr>
          <w:rFonts w:ascii="Courier New" w:hAnsi="Courier New"/>
          <w:sz w:val="18"/>
        </w:rPr>
        <w:t>models/__init__.py</w:t>
      </w:r>
      <w:r>
        <w:t xml:space="preserve"> importe les modules Python. L'ordre actuel charge notamment les modèles standards étendus, puis </w:t>
      </w:r>
      <w:r>
        <w:rPr>
          <w:rFonts w:ascii="Courier New" w:hAnsi="Courier New"/>
          <w:sz w:val="18"/>
        </w:rPr>
        <w:t>dss.request</w:t>
      </w:r>
      <w:r>
        <w:t>, sa ligne et ses extensions stock, BL, workflow et notification, avant les assistants et le modèle d'affichage.</w:t>
      </w:r>
    </w:p>
    <w:p>
      <w:r>
        <w:t xml:space="preserve">Les relations entre modèles utilisent leurs noms techniques Odoo; les classes d'extension de </w:t>
      </w:r>
      <w:r>
        <w:rPr>
          <w:rFonts w:ascii="Courier New" w:hAnsi="Courier New"/>
          <w:sz w:val="18"/>
        </w:rPr>
        <w:t>dss.request</w:t>
      </w:r>
      <w:r>
        <w:t xml:space="preserve"> déclarent </w:t>
      </w:r>
      <w:r>
        <w:rPr>
          <w:rFonts w:ascii="Courier New" w:hAnsi="Courier New"/>
          <w:sz w:val="18"/>
        </w:rPr>
        <w:t>_inherit = 'dss.request'</w:t>
      </w:r>
      <w:r>
        <w:t>. Toute modification de l'ordre d'import ou d'un nom technique doit être vérifiée contre le manifeste, les vues, les wizards, le rapport et les ACL.</w:t>
      </w:r>
    </w:p>
    <w:p>
      <w:pPr>
        <w:pStyle w:val="Heading2"/>
      </w:pPr>
      <w:r>
        <w:t>3. Vérifications lors d'une modification</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Zone touchée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Vérifications de régression utiles</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Workflow</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États et boutons visibles, rôles, messages chatter, destinataires et erreurs d'état.</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Stock</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Sens de mouvement, emplacements, unités, quantités, pickings et état final.</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Lignes</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Champs affichés, onchange, quantités copiées dans les wizards et le rapport.</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Rapport</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XML QWeb, paperformat, CSS, pièce jointe et impression manuelle.</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Notifications</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Template, clé d'événement, déduplication et tests de routage.</w:t>
            </w:r>
          </w:p>
        </w:tc>
      </w:tr>
    </w:tbl>
    <w:p>
      <w:r>
        <w:t>Cette page décrit l'organisation actuellement observée; elle ne certifie pas les étapes historiques de la refactorisation.</w:t>
      </w:r>
    </w:p>
    <w:p>
      <w:pPr>
        <w:pStyle w:val="Heading2"/>
      </w:pPr>
      <w:r>
        <w:t>4. Fiche de mémorisation</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Repère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À retenir</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Modules Python</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L'ordre effectif de chargement est models/__init__.py .</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API exposée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Les noms de modèles, champs et méthodes référencés par les vues/XML forment des dépendances à préserver.</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Vérification</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Un test ciblé et un démarrage/mise à jour sur l'environnement Odoo sont nécessaires pour valider un changement de comportement.</w:t>
            </w:r>
          </w:p>
        </w:tc>
      </w:tr>
    </w:tbl>
    <w:p>
      <w:r>
        <w:br w:type="page"/>
      </w:r>
    </w:p>
    <w:p>
      <w:pPr>
        <w:pStyle w:val="Heading1"/>
      </w:pPr>
      <w:r>
        <w:t>10 Historique Des Versions</w:t>
      </w:r>
    </w:p>
    <w:p>
      <w:pPr>
        <w:pStyle w:val="Heading1"/>
      </w:pPr>
      <w:r>
        <w:t>Historique des versions</w:t>
      </w:r>
    </w:p>
    <w:p>
      <w:pPr>
        <w:pStyle w:val="Heading2"/>
      </w:pPr>
      <w:r>
        <w:t>1. Versions vérifiables dans les sources</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Version ou repère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Information vérifiable</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2.4</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Version indiquée par le manifeste actuel.</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2.2</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Répertoire de migration contenant le renommage conditionnel de l'identifiant externe du format papier.</w:t>
            </w:r>
          </w:p>
        </w:tc>
      </w:tr>
    </w:tbl>
    <w:p>
      <w:r>
        <w:t xml:space="preserve">Les fichiers présents ne fournissent pas un journal complet des changements pour les versions </w:t>
      </w:r>
      <w:r>
        <w:rPr>
          <w:rFonts w:ascii="Courier New" w:hAnsi="Courier New"/>
          <w:sz w:val="18"/>
        </w:rPr>
        <w:t>2.0</w:t>
      </w:r>
      <w:r>
        <w:t xml:space="preserve"> à </w:t>
      </w:r>
      <w:r>
        <w:rPr>
          <w:rFonts w:ascii="Courier New" w:hAnsi="Courier New"/>
          <w:sz w:val="18"/>
        </w:rPr>
        <w:t>2.4</w:t>
      </w:r>
      <w:r>
        <w:t>. Les changements intermédiaires ne sont donc pas détaillés ici sans source vérifiable.</w:t>
      </w:r>
    </w:p>
    <w:p>
      <w:pPr>
        <w:pStyle w:val="Heading2"/>
      </w:pPr>
      <w:r>
        <w:t>2. État actuel du manifeste</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Clé</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Valeur</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Nom</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DSS V2 - Demande de Sortie de Stock</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Version</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2.4</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Auteur</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Tiavina Armel</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Dépendances</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web , stock , mail</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Installable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Oui ( installable=True )</w:t>
            </w:r>
          </w:p>
        </w:tc>
      </w:tr>
    </w:tbl>
    <w:p>
      <w:pPr>
        <w:pStyle w:val="Heading2"/>
      </w:pPr>
      <w:r>
        <w:t>3. Convention de versioning</w:t>
      </w:r>
    </w:p>
    <w:p>
      <w:r>
        <w:t>Le manifeste expose un numéro de version, mais les sources auditées ne documentent pas de règle de versioning complète ni de changelog historique. Ajouter une entrée datée et sourcée lors d'une évolution future permettrait d'établir cet historique sans le reconstruire par supposition.</w:t>
      </w:r>
    </w:p>
    <w:p>
      <w:pPr>
        <w:pStyle w:val="Heading2"/>
      </w:pPr>
      <w:r>
        <w:t>4. Fiche de mémorisation</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Repère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shd w:fill="D9E2F3"/>
          </w:tcPr>
          <w:p>
            <w:r>
              <w:rPr>
                <w:b/>
              </w:rPr>
              <w:t>À retenir</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Version actuelle</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2.4 , lue dans __manifest__.py .</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Historique antérieur</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Non reconstituable de manière fiable avec les seuls fichiers audités.</w:t>
            </w:r>
          </w:p>
        </w:tc>
      </w:tr>
      <w:tr>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Migration</w:t>
            </w:r>
          </w:p>
        </w:tc>
        <w:tc>
          <w:tcPr>
            <w:tcW w:type="dxa" w:w="4320"/>
            <w:vAlign w:val="center"/>
            <w:tcBorders>
              <w:top w:val="single" w:sz="6" w:color="000000"/>
              <w:left w:val="single" w:sz="6" w:color="000000"/>
              <w:bottom w:val="single" w:sz="6" w:color="000000"/>
              <w:right w:val="single" w:sz="6" w:color="000000"/>
              <w:insideH w:val="single" w:sz="6" w:color="000000"/>
              <w:insideV w:val="single" w:sz="6" w:color="000000"/>
            </w:tcBorders>
          </w:tcPr>
          <w:p>
            <w:r>
              <w:t>Le script disponible se trouve dans migrations/2.2/ .</w:t>
            </w:r>
          </w:p>
        </w:tc>
      </w:tr>
    </w:tbl>
    <w:sectPr w:rsidR="00FC693F" w:rsidRPr="0006063C" w:rsidSect="00034616">
      <w:footerReference w:type="default" r:id="rId10"/>
      <w:pgSz w:w="12240" w:h="15840"/>
      <w:pgMar w:top="1152"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DSS V2 - Demande de Sortie de Stock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E75B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urier New" w:hAnsi="Courier New" w:eastAsia="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