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d86ac0c269d4054" /><Relationship Type="http://schemas.openxmlformats.org/package/2006/relationships/metadata/core-properties" Target="/docProps/core.xml" Id="R60b37467428345bf" /><Relationship Type="http://schemas.openxmlformats.org/officeDocument/2006/relationships/extended-properties" Target="/docProps/app.xml" Id="Rea80f9274bc541f8" /><Relationship Type="http://schemas.openxmlformats.org/officeDocument/2006/relationships/custom-properties" Target="/docProps/custom.xml" Id="Redd8bebb923c4413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60"/>
      </w:pPr>
      <w:r>
        <w:rPr>
          <w:b/>
          <w:sz w:val="40"/>
        </w:rPr>
        <w:t xml:space="preserve">Demo 8: Monolith to Event-Driven Architecture Migration</w:t>
      </w:r>
    </w:p>
    <w:p w14:paraId="00100002" w14:textId="00100003">
      <w:pPr>
        <w:pStyle w:val="Heading2"/>
        <w:spacing w:after="280"/>
      </w:pPr>
      <w:r>
        <w:rPr>
          <w:b/>
          <w:color w:val="555555"/>
          <w:sz w:val="26"/>
        </w:rPr>
        <w:t xml:space="preserve">Audience: Enterprise Architects / Cloud Architects | Tier: Tier 3 (18–25 min)</w:t>
      </w:r>
    </w:p>
    <w:p w14:paraId="00100004" w14:textId="00100005">
      <w:pPr>
        <w:pStyle w:val="Heading2"/>
        <w:spacing w:after="120"/>
      </w:pPr>
      <w:r>
        <w:rPr>
          <w:b/>
          <w:sz w:val="28"/>
        </w:rPr>
        <w:t xml:space="preserve">1. What this Demo Shows</w:t>
      </w:r>
    </w:p>
    <w:p w14:paraId="00100006" w14:textId="00100007">
      <w:pPr>
        <w:spacing w:after="200"/>
      </w:pPr>
      <w:r>
        <w:rPr>
          <w:sz w:val="22"/>
        </w:rPr>
        <w:t xml:space="preserve">This demo demonstrates how Bob can analyze an enterprise monolithic codebase, identify cascading failure bottlenecks, architect an asynchronous event-driven target state with Mermaid diagrams, and scaffold the decoupled event schemas and consumer workers.</w:t>
      </w:r>
    </w:p>
    <w:p w14:paraId="00100008" w14:textId="00100009">
      <w:pPr>
        <w:pStyle w:val="Heading2"/>
        <w:spacing w:after="120"/>
      </w:pPr>
      <w:r>
        <w:rPr>
          <w:b/>
          <w:sz w:val="28"/>
        </w:rPr>
        <w:t xml:space="preserve">2. Pre-requisites &amp; Environment Navigation</w:t>
      </w:r>
    </w:p>
    <w:p w14:paraId="0010000A" w14:textId="0010000B">
      <w:pPr>
        <w:numPr>
          <w:ilvl w:val="0"/>
          <w:numId w:val="1"/>
        </w:numPr>
      </w:pPr>
      <w:r>
        <w:rPr/>
        <w:t xml:space="preserve">• Workspace File: demos/tier-3/demo-8-event-driven-migration/monolith_order_system.py</w:t>
      </w:r>
    </w:p>
    <w:p w14:paraId="0010000C" w14:textId="0010000D">
      <w:pPr>
        <w:numPr>
          <w:ilvl w:val="0"/>
          <w:numId w:val="1"/>
        </w:numPr>
        <w:spacing w:after="200"/>
      </w:pPr>
      <w:r>
        <w:rPr/>
        <w:t xml:space="preserve">• Recommended Bob Mode: Plan or Agent</w:t>
      </w:r>
    </w:p>
    <w:p w14:paraId="0010000E" w14:textId="0010000F">
      <w:pPr>
        <w:pStyle w:val="Heading2"/>
        <w:spacing w:after="120"/>
      </w:pPr>
      <w:r>
        <w:rPr>
          <w:b/>
          <w:sz w:val="28"/>
        </w:rPr>
        <w:t xml:space="preserve">3. Step-by-Step Instructions (Self-Guided)</w:t>
      </w:r>
    </w:p>
    <w:p w14:paraId="00100010" w14:textId="00100011">
      <w:pPr>
        <w:spacing w:after="80"/>
      </w:pPr>
      <w:r>
        <w:rPr>
          <w:sz w:val="22"/>
        </w:rPr>
        <w:t xml:space="preserve">Step 1: Open demos/tier-3/demo-8-event-driven-migration/monolith_order_system.py to view the synchronous blocking pipeline.</w:t>
      </w:r>
    </w:p>
    <w:p w14:paraId="00100012" w14:textId="00100013">
      <w:pPr>
        <w:spacing w:after="120"/>
      </w:pPr>
      <w:r>
        <w:rPr>
          <w:sz w:val="22"/>
        </w:rPr>
        <w:t xml:space="preserve">Step 2 (Architecture Discovery): Copy and paste this prompt into Bob:</w:t>
      </w:r>
    </w:p>
    <w:p w14:paraId="00100014" w14:textId="00100015">
      <w:pPr>
        <w:spacing w:after="200"/>
      </w:pPr>
      <w:r>
        <w:rPr>
          <w:b/>
          <w:color w:val="1F4E79"/>
          <w:sz w:val="21"/>
        </w:rPr>
        <w:t xml:space="preserve">Analyze the monolithic order processing script in demos/tier-3/demo-8-event-driven-migration/monolith_order_system.py. Identify the architectural failure bottlenecks. Then design an asynchronous event-driven target architecture with an Event Bus, Inventory Consumer, SaaS Provisioning Worker, and Notification Consumer. Provide a Mermaid sequence diagram illustrating the decoupled event flow.</w:t>
      </w:r>
    </w:p>
    <w:p w14:paraId="00100016" w14:textId="00100017">
      <w:pPr>
        <w:spacing w:after="240"/>
      </w:pPr>
      <w:r>
        <w:rPr>
          <w:sz w:val="22"/>
        </w:rPr>
        <w:t xml:space="preserve">Step 3 (Scaffolding): Tell Bob: 'Scaffold the Python event models (OrderPlacedEvent, InventoryAllocatedEvent) and an asynchronous in-memory event bus runner in demos/tier-3/demo-8-event-driven-migration/event_driven_pipeline.py.'</w:t>
      </w:r>
    </w:p>
    <w:p w14:paraId="00100018" w14:textId="00100019">
      <w:pPr>
        <w:pStyle w:val="Heading2"/>
        <w:spacing w:after="120"/>
      </w:pPr>
      <w:r>
        <w:rPr>
          <w:b/>
          <w:sz w:val="28"/>
        </w:rPr>
        <w:t xml:space="preserve">4. Expected Outcome</w:t>
      </w:r>
    </w:p>
    <w:p w14:paraId="0010001A" w14:textId="0010001B">
      <w:pPr>
        <w:spacing w:after="200"/>
      </w:pPr>
      <w:r>
        <w:rPr>
          <w:sz w:val="22"/>
        </w:rPr>
        <w:t xml:space="preserve">An enterprise architecture migration blueprint with Mermaid visualization, decoupled event schemas, and working worker handlers.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b98e3a2d00347b7" /><Relationship Type="http://schemas.openxmlformats.org/officeDocument/2006/relationships/styles" Target="/word/styles.xml" Id="Rf34e72204a054fa6" /><Relationship Type="http://schemas.openxmlformats.org/officeDocument/2006/relationships/theme" Target="/word/theme/theme1.xml" Id="Re4bf5d1aa20244b8" /><Relationship Type="http://schemas.openxmlformats.org/officeDocument/2006/relationships/numbering" Target="/word/numbering.xml" Id="Raf52b09ee3094a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2026-09-21T01:27:08Z</dcterms:created>
  <cp:lastModifiedBy>OfficeCLI</cp:lastModifiedBy>
  <dcterms:modified xsi:type="dcterms:W3CDTF">2026-09-21T01:27:08Z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2026-09-21T01:27:09Z</vt:lpwstr>
  </op:property>
</op:Properties>
</file>