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100000" w14:textId="04810114" w:rsidR="00024CE5" w:rsidRDefault="008872A4">
      <w:pPr>
        <w:pStyle w:val="Heading1"/>
        <w:spacing w:after="160"/>
      </w:pPr>
      <w:r>
        <w:rPr>
          <w:rFonts w:ascii="IBM Plex Sans" w:eastAsia="IBM Plex Sans" w:hAnsi="IBM Plex Sans"/>
          <w:b/>
          <w:sz w:val="44"/>
        </w:rPr>
        <w:t>Medium Demo</w:t>
      </w:r>
      <w:r w:rsidR="007D438A">
        <w:rPr>
          <w:rFonts w:ascii="IBM Plex Sans" w:eastAsia="IBM Plex Sans" w:hAnsi="IBM Plex Sans"/>
          <w:b/>
          <w:sz w:val="44"/>
        </w:rPr>
        <w:t xml:space="preserve"> - Dragon's Hoard</w:t>
      </w:r>
    </w:p>
    <w:p w14:paraId="00100002" w14:textId="00100003" w:rsidR="00024CE5" w:rsidRDefault="00000000">
      <w:pPr>
        <w:spacing w:after="240" w:line="360" w:lineRule="auto"/>
      </w:pPr>
      <w:r>
        <w:rPr>
          <w:rFonts w:ascii="IBM Plex Sans" w:eastAsia="IBM Plex Sans" w:hAnsi="IBM Plex Sans"/>
        </w:rPr>
        <w:t>This demo uses the Dragon's Hoard Shop Manager — a small, intentionally imperfect Python application. Each exercise below uses IBM Bob to investigate, improve, or extend the codebase. Open the project folder before starting.</w:t>
      </w:r>
    </w:p>
    <w:p w14:paraId="00100004" w14:textId="00100005" w:rsidR="00024CE5" w:rsidRPr="00616163" w:rsidRDefault="00000000">
      <w:pPr>
        <w:pStyle w:val="Heading1"/>
        <w:spacing w:after="120"/>
        <w:rPr>
          <w:color w:val="000000" w:themeColor="text1"/>
        </w:rPr>
      </w:pPr>
      <w:r w:rsidRPr="00616163">
        <w:rPr>
          <w:rFonts w:ascii="IBM Plex Sans" w:eastAsia="IBM Plex Sans" w:hAnsi="IBM Plex Sans"/>
          <w:b/>
          <w:color w:val="000000" w:themeColor="text1"/>
        </w:rPr>
        <w:t>Opening the Project</w:t>
      </w:r>
    </w:p>
    <w:p w14:paraId="00100006" w14:textId="7FE699EC" w:rsidR="00024CE5" w:rsidRPr="00616163" w:rsidRDefault="00000000">
      <w:pPr>
        <w:pStyle w:val="Heading2"/>
        <w:spacing w:before="160" w:after="80"/>
        <w:rPr>
          <w:color w:val="000000" w:themeColor="text1"/>
        </w:rPr>
      </w:pPr>
      <w:r w:rsidRPr="00616163">
        <w:rPr>
          <w:rFonts w:ascii="IBM Plex Sans" w:eastAsia="IBM Plex Sans" w:hAnsi="IBM Plex Sans"/>
          <w:b/>
          <w:color w:val="000000" w:themeColor="text1"/>
        </w:rPr>
        <w:t>Step 1 - Open the project</w:t>
      </w:r>
    </w:p>
    <w:p w14:paraId="00100008" w14:textId="7FE699ED" w:rsidR="00024CE5" w:rsidRDefault="00000000">
      <w:pPr>
        <w:spacing w:after="160" w:line="360" w:lineRule="auto"/>
      </w:pPr>
      <w:r>
        <w:rPr>
          <w:rFonts w:ascii="IBM Plex Sans" w:eastAsia="IBM Plex Sans" w:hAnsi="IBM Plex Sans"/>
        </w:rPr>
        <w:t>In VS Code, go to File - Open Folder and open the following folder:</w:t>
      </w:r>
    </w:p>
    <w:p w14:paraId="0010000E" w14:textId="7FE699EE" w:rsidR="00024CE5" w:rsidRPr="00C57A1E"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C57A1E">
        <w:rPr>
          <w:rFonts w:ascii="IBM Plex Mono" w:eastAsia="Courier New" w:hAnsi="IBM Plex Mono"/>
          <w:color w:val="FFFFFF"/>
          <w:sz w:val="20"/>
        </w:rPr>
        <w:t>Demos/Resources/Dragon's Hoard/</w:t>
      </w:r>
      <w:proofErr w:type="spellStart"/>
      <w:r w:rsidRPr="00C57A1E">
        <w:rPr>
          <w:rFonts w:ascii="IBM Plex Mono" w:eastAsia="Courier New" w:hAnsi="IBM Plex Mono"/>
          <w:color w:val="FFFFFF"/>
          <w:sz w:val="20"/>
        </w:rPr>
        <w:t>dragon_shop</w:t>
      </w:r>
      <w:proofErr w:type="spellEnd"/>
    </w:p>
    <w:p w14:paraId="00100010" w14:textId="7FE699EF" w:rsidR="00024CE5" w:rsidRPr="00616163" w:rsidRDefault="00000000">
      <w:pPr>
        <w:pStyle w:val="Heading2"/>
        <w:spacing w:before="160" w:after="80"/>
        <w:rPr>
          <w:color w:val="000000" w:themeColor="text1"/>
        </w:rPr>
      </w:pPr>
      <w:r w:rsidRPr="00616163">
        <w:rPr>
          <w:rFonts w:ascii="IBM Plex Sans" w:eastAsia="IBM Plex Sans" w:hAnsi="IBM Plex Sans"/>
          <w:b/>
          <w:color w:val="000000" w:themeColor="text1"/>
        </w:rPr>
        <w:t>Step 2 - Open Bob</w:t>
      </w:r>
    </w:p>
    <w:p w14:paraId="00100012" w14:textId="7FE699F0" w:rsidR="00024CE5" w:rsidRDefault="00000000">
      <w:pPr>
        <w:spacing w:after="240" w:line="360" w:lineRule="auto"/>
      </w:pPr>
      <w:r>
        <w:rPr>
          <w:rFonts w:ascii="IBM Plex Sans" w:eastAsia="IBM Plex Sans" w:hAnsi="IBM Plex Sans"/>
        </w:rPr>
        <w:t>Click the Bob icon in the VS Code Activity Bar (the icon panel on the far left). The Bob chat panel will open on the right-hand side of the screen. With the folder open, Bob has full visibility of all the project files and can navigate them on its own.</w:t>
      </w:r>
    </w:p>
    <w:p w14:paraId="00100014" w14:textId="00100015" w:rsidR="00024CE5" w:rsidRDefault="00000000">
      <w:pPr>
        <w:pStyle w:val="Heading1"/>
        <w:pBdr>
          <w:top w:val="single" w:sz="12" w:space="8" w:color="1F70C1"/>
        </w:pBdr>
        <w:spacing w:before="400" w:after="120"/>
      </w:pPr>
      <w:r>
        <w:rPr>
          <w:rFonts w:ascii="IBM Plex Sans" w:eastAsia="IBM Plex Sans" w:hAnsi="IBM Plex Sans"/>
          <w:b/>
          <w:color w:val="1F70C1"/>
        </w:rPr>
        <w:t>Exercises</w:t>
      </w:r>
    </w:p>
    <w:p w14:paraId="00100016" w14:textId="00100017" w:rsidR="00024CE5" w:rsidRDefault="00000000">
      <w:pPr>
        <w:spacing w:after="240" w:line="360" w:lineRule="auto"/>
      </w:pPr>
      <w:r>
        <w:rPr>
          <w:rFonts w:ascii="IBM Plex Sans" w:eastAsia="IBM Plex Sans" w:hAnsi="IBM Plex Sans"/>
        </w:rPr>
        <w:t>The following five exercises are designed to be run in sequence. Each one demonstrates a different IBM Bob capability using the same codebase.</w:t>
      </w:r>
    </w:p>
    <w:p w14:paraId="00100018" w14:textId="00100019" w:rsidR="00024CE5" w:rsidRPr="00616163" w:rsidRDefault="00000000">
      <w:pPr>
        <w:pStyle w:val="Heading2"/>
        <w:spacing w:before="240" w:after="80"/>
        <w:rPr>
          <w:color w:val="000000" w:themeColor="text1"/>
        </w:rPr>
      </w:pPr>
      <w:r w:rsidRPr="00616163">
        <w:rPr>
          <w:rFonts w:ascii="IBM Plex Sans" w:eastAsia="IBM Plex Sans" w:hAnsi="IBM Plex Sans"/>
          <w:b/>
          <w:color w:val="000000" w:themeColor="text1"/>
        </w:rPr>
        <w:t>Exercise 1 — Find the Bug</w:t>
      </w:r>
    </w:p>
    <w:p w14:paraId="0010001A" w14:textId="1B07D508" w:rsidR="00024CE5" w:rsidRDefault="00000000">
      <w:pPr>
        <w:spacing w:after="120" w:line="360" w:lineRule="auto"/>
      </w:pPr>
      <w:r>
        <w:rPr>
          <w:rFonts w:ascii="IBM Plex Sans" w:eastAsia="IBM Plex Sans" w:hAnsi="IBM Plex Sans"/>
        </w:rPr>
        <w:t xml:space="preserve">The purchase total calculation contains a bug. Rather than telling Bob where it is, ask Bob to investigate the repository and find it. </w:t>
      </w:r>
      <w:r w:rsidR="001D0801">
        <w:rPr>
          <w:rFonts w:ascii="IBM Plex Sans" w:eastAsia="IBM Plex Sans" w:hAnsi="IBM Plex Sans"/>
        </w:rPr>
        <w:t xml:space="preserve">In the ‘Ask’ mode use </w:t>
      </w:r>
      <w:r>
        <w:rPr>
          <w:rFonts w:ascii="IBM Plex Sans" w:eastAsia="IBM Plex Sans" w:hAnsi="IBM Plex Sans"/>
        </w:rPr>
        <w:t>this prompt:</w:t>
      </w:r>
    </w:p>
    <w:p w14:paraId="0010001C" w14:textId="0010001D" w:rsidR="00024CE5" w:rsidRPr="00C57A1E"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C57A1E">
        <w:rPr>
          <w:rFonts w:ascii="IBM Plex Mono" w:eastAsia="Courier New" w:hAnsi="IBM Plex Mono"/>
          <w:color w:val="FFFFFF"/>
          <w:sz w:val="20"/>
        </w:rPr>
        <w:t>The total being calculated for purchases appears to be incorrect. Investigate the repository, identify the cause, and explain the problem to me. Do not modify anything yet.</w:t>
      </w:r>
    </w:p>
    <w:p w14:paraId="0010001E" w14:textId="4C60203C" w:rsidR="00024CE5" w:rsidRDefault="00000000">
      <w:pPr>
        <w:spacing w:after="120" w:line="360" w:lineRule="auto"/>
      </w:pPr>
      <w:r>
        <w:rPr>
          <w:rFonts w:ascii="IBM Plex Sans" w:eastAsia="IBM Plex Sans" w:hAnsi="IBM Plex Sans"/>
        </w:rPr>
        <w:t xml:space="preserve">Bob will trace the calculation logic in checkout.py, pinpoint the incorrect branch, and explain why only purchases of three or more units are affected. Once you have reviewed the explanation, follow up </w:t>
      </w:r>
      <w:r w:rsidR="00A77FC7">
        <w:rPr>
          <w:rFonts w:ascii="IBM Plex Sans" w:eastAsia="IBM Plex Sans" w:hAnsi="IBM Plex Sans"/>
        </w:rPr>
        <w:t xml:space="preserve">in the ‘Agent’ mode </w:t>
      </w:r>
      <w:r>
        <w:rPr>
          <w:rFonts w:ascii="IBM Plex Sans" w:eastAsia="IBM Plex Sans" w:hAnsi="IBM Plex Sans"/>
        </w:rPr>
        <w:t>with:</w:t>
      </w:r>
    </w:p>
    <w:p w14:paraId="00100020" w14:textId="00100021" w:rsidR="00024CE5" w:rsidRPr="00C57A1E"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C57A1E">
        <w:rPr>
          <w:rFonts w:ascii="IBM Plex Mono" w:eastAsia="Courier New" w:hAnsi="IBM Plex Mono"/>
          <w:color w:val="FFFFFF"/>
          <w:sz w:val="20"/>
        </w:rPr>
        <w:lastRenderedPageBreak/>
        <w:t>Fix the calculation issue and show me what you changed.</w:t>
      </w:r>
    </w:p>
    <w:p w14:paraId="00100022" w14:textId="00100023" w:rsidR="00024CE5" w:rsidRDefault="00000000">
      <w:pPr>
        <w:spacing w:after="240" w:line="360" w:lineRule="auto"/>
      </w:pPr>
      <w:r>
        <w:rPr>
          <w:rFonts w:ascii="IBM Plex Sans" w:eastAsia="IBM Plex Sans" w:hAnsi="IBM Plex Sans"/>
        </w:rPr>
        <w:t>This exercise demonstrates Bob's ability to read and reason across multiple files to locate a non-obvious bug without being told where to look.</w:t>
      </w:r>
    </w:p>
    <w:p w14:paraId="00100024" w14:textId="00100025" w:rsidR="00024CE5" w:rsidRPr="00616163" w:rsidRDefault="00000000">
      <w:pPr>
        <w:pStyle w:val="Heading2"/>
        <w:spacing w:before="240" w:after="80"/>
        <w:rPr>
          <w:color w:val="000000" w:themeColor="text1"/>
        </w:rPr>
      </w:pPr>
      <w:r w:rsidRPr="00616163">
        <w:rPr>
          <w:rFonts w:ascii="IBM Plex Sans" w:eastAsia="IBM Plex Sans" w:hAnsi="IBM Plex Sans"/>
          <w:b/>
          <w:color w:val="000000" w:themeColor="text1"/>
        </w:rPr>
        <w:t>Exercise 2 — Add a Feature</w:t>
      </w:r>
    </w:p>
    <w:p w14:paraId="00100026" w14:textId="00100027" w:rsidR="00024CE5" w:rsidRDefault="00000000">
      <w:pPr>
        <w:spacing w:after="120" w:line="360" w:lineRule="auto"/>
      </w:pPr>
      <w:r>
        <w:rPr>
          <w:rFonts w:ascii="IBM Plex Sans" w:eastAsia="IBM Plex Sans" w:hAnsi="IBM Plex Sans"/>
        </w:rPr>
        <w:t>The shop currently has no loyalty discount. Ask Bob to implement a new pricing rule and update the receipt output to match. Use this prompt:</w:t>
      </w:r>
    </w:p>
    <w:p w14:paraId="00100028" w14:textId="00100029" w:rsidR="00024CE5" w:rsidRPr="00C57A1E"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C57A1E">
        <w:rPr>
          <w:rFonts w:ascii="IBM Plex Mono" w:eastAsia="Courier New" w:hAnsi="IBM Plex Mono"/>
          <w:color w:val="FFFFFF"/>
          <w:sz w:val="20"/>
        </w:rPr>
        <w:t>Add a feature where purchases over $200 receive a 10% Adventurer Discount. The receipt should display the subtotal, discount, and final total.</w:t>
      </w:r>
    </w:p>
    <w:p w14:paraId="0010002A" w14:textId="0010002B" w:rsidR="00024CE5" w:rsidRDefault="00000000">
      <w:pPr>
        <w:spacing w:after="240" w:line="360" w:lineRule="auto"/>
      </w:pPr>
      <w:r>
        <w:rPr>
          <w:rFonts w:ascii="IBM Plex Sans" w:eastAsia="IBM Plex Sans" w:hAnsi="IBM Plex Sans"/>
        </w:rPr>
        <w:t>Bob will identify the checkout and receipt modules, add the discount calculation, and update the printed receipt to show a subtotal, the discount amount, and the final total — without touching unrelated parts of the code.</w:t>
      </w:r>
    </w:p>
    <w:p w14:paraId="0010002C" w14:textId="0010002D" w:rsidR="00024CE5" w:rsidRPr="00616163" w:rsidRDefault="00000000">
      <w:pPr>
        <w:pStyle w:val="Heading2"/>
        <w:spacing w:before="240" w:after="80"/>
        <w:rPr>
          <w:color w:val="000000" w:themeColor="text1"/>
        </w:rPr>
      </w:pPr>
      <w:r w:rsidRPr="00616163">
        <w:rPr>
          <w:rFonts w:ascii="IBM Plex Sans" w:eastAsia="IBM Plex Sans" w:hAnsi="IBM Plex Sans"/>
          <w:b/>
          <w:color w:val="000000" w:themeColor="text1"/>
        </w:rPr>
        <w:t>Exercise 3 — Refactor a Messy Function</w:t>
      </w:r>
    </w:p>
    <w:p w14:paraId="0010002E" w14:textId="0010002F" w:rsidR="00024CE5" w:rsidRDefault="00000000">
      <w:pPr>
        <w:spacing w:after="120" w:line="360" w:lineRule="auto"/>
      </w:pPr>
      <w:r>
        <w:rPr>
          <w:rFonts w:ascii="IBM Plex Sans" w:eastAsia="IBM Plex Sans" w:hAnsi="IBM Plex Sans"/>
        </w:rPr>
        <w:t xml:space="preserve">The </w:t>
      </w:r>
      <w:proofErr w:type="spellStart"/>
      <w:r>
        <w:rPr>
          <w:rFonts w:ascii="IBM Plex Sans" w:eastAsia="IBM Plex Sans" w:hAnsi="IBM Plex Sans"/>
        </w:rPr>
        <w:t>do_checkout</w:t>
      </w:r>
      <w:proofErr w:type="spellEnd"/>
      <w:r>
        <w:rPr>
          <w:rFonts w:ascii="IBM Plex Sans" w:eastAsia="IBM Plex Sans" w:hAnsi="IBM Plex Sans"/>
        </w:rPr>
        <w:t xml:space="preserve"> function in checkout.py works, but it has accumulated several maintainability problems. Ask Bob to analyse and refactor it:</w:t>
      </w:r>
    </w:p>
    <w:p w14:paraId="00100030" w14:textId="00100031" w:rsidR="00024CE5" w:rsidRPr="00C57A1E"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C57A1E">
        <w:rPr>
          <w:rFonts w:ascii="IBM Plex Mono" w:eastAsia="Courier New" w:hAnsi="IBM Plex Mono"/>
          <w:color w:val="FFFFFF"/>
          <w:sz w:val="20"/>
        </w:rPr>
        <w:t>Analyse the checkout function. It works, but it has become difficult to maintain. Explain the maintainability problems and refactor it without changing its intended behaviour.</w:t>
      </w:r>
    </w:p>
    <w:p w14:paraId="00100032" w14:textId="00100033" w:rsidR="00024CE5" w:rsidRDefault="00000000">
      <w:pPr>
        <w:spacing w:after="240" w:line="360" w:lineRule="auto"/>
      </w:pPr>
      <w:r>
        <w:rPr>
          <w:rFonts w:ascii="IBM Plex Sans" w:eastAsia="IBM Plex Sans" w:hAnsi="IBM Plex Sans"/>
        </w:rPr>
        <w:t>Bob will identify issues such as deeply nested conditionals, vague variable names, mixed responsibilities, and repeated logic. It will then produce a refactored version that is functionally equivalent but significantly easier to read and maintain.</w:t>
      </w:r>
    </w:p>
    <w:p w14:paraId="00100034" w14:textId="00100035" w:rsidR="00024CE5" w:rsidRPr="00616163" w:rsidRDefault="00000000">
      <w:pPr>
        <w:pStyle w:val="Heading2"/>
        <w:spacing w:before="240" w:after="80"/>
        <w:rPr>
          <w:color w:val="000000" w:themeColor="text1"/>
        </w:rPr>
      </w:pPr>
      <w:r w:rsidRPr="00616163">
        <w:rPr>
          <w:rFonts w:ascii="IBM Plex Sans" w:eastAsia="IBM Plex Sans" w:hAnsi="IBM Plex Sans"/>
          <w:b/>
          <w:color w:val="000000" w:themeColor="text1"/>
        </w:rPr>
        <w:t>Exercise 4 — Literate Coding</w:t>
      </w:r>
    </w:p>
    <w:p w14:paraId="00100036" w14:textId="7570A229" w:rsidR="00024CE5" w:rsidRDefault="00000000">
      <w:pPr>
        <w:spacing w:after="120" w:line="360" w:lineRule="auto"/>
        <w:rPr>
          <w:rFonts w:ascii="IBM Plex Sans" w:eastAsia="IBM Plex Sans" w:hAnsi="IBM Plex Sans"/>
        </w:rPr>
      </w:pPr>
      <w:r>
        <w:rPr>
          <w:rFonts w:ascii="IBM Plex Sans" w:eastAsia="IBM Plex Sans" w:hAnsi="IBM Plex Sans"/>
        </w:rPr>
        <w:t xml:space="preserve">The </w:t>
      </w:r>
      <w:proofErr w:type="spellStart"/>
      <w:r>
        <w:rPr>
          <w:rFonts w:ascii="IBM Plex Sans" w:eastAsia="IBM Plex Sans" w:hAnsi="IBM Plex Sans"/>
        </w:rPr>
        <w:t>get_low_stock_items</w:t>
      </w:r>
      <w:proofErr w:type="spellEnd"/>
      <w:r>
        <w:rPr>
          <w:rFonts w:ascii="IBM Plex Sans" w:eastAsia="IBM Plex Sans" w:hAnsi="IBM Plex Sans"/>
        </w:rPr>
        <w:t xml:space="preserve"> function </w:t>
      </w:r>
      <w:r w:rsidR="00616163">
        <w:rPr>
          <w:rFonts w:ascii="IBM Plex Sans" w:eastAsia="IBM Plex Sans" w:hAnsi="IBM Plex Sans"/>
        </w:rPr>
        <w:t>at the end of</w:t>
      </w:r>
      <w:r>
        <w:rPr>
          <w:rFonts w:ascii="IBM Plex Sans" w:eastAsia="IBM Plex Sans" w:hAnsi="IBM Plex Sans"/>
        </w:rPr>
        <w:t xml:space="preserve"> checkout.py contains a detailed docstring describing the requirements, but the implementation is empty. </w:t>
      </w:r>
      <w:r w:rsidR="00616163">
        <w:rPr>
          <w:rFonts w:ascii="IBM Plex Sans" w:eastAsia="IBM Plex Sans" w:hAnsi="IBM Plex Sans"/>
        </w:rPr>
        <w:t xml:space="preserve">Using the literate coding function — indicated by the magic wand at the top right of the VS code — </w:t>
      </w:r>
      <w:r>
        <w:rPr>
          <w:rFonts w:ascii="IBM Plex Sans" w:eastAsia="IBM Plex Sans" w:hAnsi="IBM Plex Sans"/>
        </w:rPr>
        <w:t xml:space="preserve"> </w:t>
      </w:r>
      <w:r w:rsidR="00616163">
        <w:rPr>
          <w:rFonts w:ascii="IBM Plex Sans" w:eastAsia="IBM Plex Sans" w:hAnsi="IBM Plex Sans"/>
        </w:rPr>
        <w:t xml:space="preserve">ask </w:t>
      </w:r>
      <w:r>
        <w:rPr>
          <w:rFonts w:ascii="IBM Plex Sans" w:eastAsia="IBM Plex Sans" w:hAnsi="IBM Plex Sans"/>
        </w:rPr>
        <w:t>Bob to implement it from the description alone:</w:t>
      </w:r>
    </w:p>
    <w:p w14:paraId="7FE699EB" w14:textId="5430B695" w:rsidR="001E1D83" w:rsidRDefault="001E1D83" w:rsidP="001E1D83">
      <w:pPr>
        <w:spacing w:after="120" w:line="360" w:lineRule="auto"/>
        <w:jc w:val="center"/>
      </w:pPr>
      <w:r>
        <w:rPr>
          <w:noProof/>
        </w:rPr>
        <w:lastRenderedPageBreak/>
        <w:drawing>
          <wp:inline distT="0" distB="0" distL="0" distR="0" wp14:anchorId="3D58D5F8" wp14:editId="545A9E96">
            <wp:extent cx="5192267" cy="3897013"/>
            <wp:effectExtent l="0" t="0" r="2540" b="1905"/>
            <wp:docPr id="198218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8383" name="Picture 198218383"/>
                    <pic:cNvPicPr/>
                  </pic:nvPicPr>
                  <pic:blipFill>
                    <a:blip r:embed="rId5">
                      <a:extLst>
                        <a:ext uri="{28A0092B-C50C-407E-A947-70E740481C1C}">
                          <a14:useLocalDpi xmlns:a14="http://schemas.microsoft.com/office/drawing/2010/main" val="0"/>
                        </a:ext>
                      </a:extLst>
                    </a:blip>
                    <a:stretch>
                      <a:fillRect/>
                    </a:stretch>
                  </pic:blipFill>
                  <pic:spPr>
                    <a:xfrm>
                      <a:off x="0" y="0"/>
                      <a:ext cx="5357944" cy="4021361"/>
                    </a:xfrm>
                    <a:prstGeom prst="rect">
                      <a:avLst/>
                    </a:prstGeom>
                  </pic:spPr>
                </pic:pic>
              </a:graphicData>
            </a:graphic>
          </wp:inline>
        </w:drawing>
      </w:r>
      <w:r w:rsidR="00C57A1E">
        <w:rPr>
          <w:noProof/>
        </w:rPr>
        <w:drawing>
          <wp:inline distT="0" distB="0" distL="0" distR="0" wp14:anchorId="6BD95FAC" wp14:editId="0D3838C2">
            <wp:extent cx="5118100" cy="2311400"/>
            <wp:effectExtent l="0" t="0" r="0" b="0"/>
            <wp:docPr id="1236157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57614" name="Picture 1236157614"/>
                    <pic:cNvPicPr/>
                  </pic:nvPicPr>
                  <pic:blipFill>
                    <a:blip r:embed="rId6">
                      <a:extLst>
                        <a:ext uri="{28A0092B-C50C-407E-A947-70E740481C1C}">
                          <a14:useLocalDpi xmlns:a14="http://schemas.microsoft.com/office/drawing/2010/main" val="0"/>
                        </a:ext>
                      </a:extLst>
                    </a:blip>
                    <a:stretch>
                      <a:fillRect/>
                    </a:stretch>
                  </pic:blipFill>
                  <pic:spPr>
                    <a:xfrm>
                      <a:off x="0" y="0"/>
                      <a:ext cx="5118100" cy="2311400"/>
                    </a:xfrm>
                    <a:prstGeom prst="rect">
                      <a:avLst/>
                    </a:prstGeom>
                  </pic:spPr>
                </pic:pic>
              </a:graphicData>
            </a:graphic>
          </wp:inline>
        </w:drawing>
      </w:r>
    </w:p>
    <w:p w14:paraId="00100038" w14:textId="00100039" w:rsidR="00024CE5" w:rsidRPr="00C57A1E"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C57A1E">
        <w:rPr>
          <w:rFonts w:ascii="IBM Plex Mono" w:eastAsia="Courier New" w:hAnsi="IBM Plex Mono"/>
          <w:color w:val="FFFFFF"/>
          <w:sz w:val="20"/>
        </w:rPr>
        <w:t>Implement the low-stock functionality described by the comments and requirements in the source code.</w:t>
      </w:r>
    </w:p>
    <w:p w14:paraId="25B0948D" w14:textId="1E4E83B2" w:rsidR="001E1D83" w:rsidRDefault="001E1D83">
      <w:pPr>
        <w:spacing w:after="240" w:line="360" w:lineRule="auto"/>
        <w:rPr>
          <w:rFonts w:ascii="IBM Plex Sans" w:eastAsia="IBM Plex Sans" w:hAnsi="IBM Plex Sans"/>
        </w:rPr>
      </w:pPr>
    </w:p>
    <w:p w14:paraId="0010003A" w14:textId="17B8C029" w:rsidR="00024CE5" w:rsidRDefault="00000000">
      <w:pPr>
        <w:spacing w:after="240" w:line="360" w:lineRule="auto"/>
      </w:pPr>
      <w:r>
        <w:rPr>
          <w:rFonts w:ascii="IBM Plex Sans" w:eastAsia="IBM Plex Sans" w:hAnsi="IBM Plex Sans"/>
        </w:rPr>
        <w:t>Bob will read the docstring requirements and generate a correct implementation. This demonstrates how well-written natural-language requirements inside source code can drive code generation — a technique sometimes called literate coding.</w:t>
      </w:r>
    </w:p>
    <w:p w14:paraId="0010003C" w14:textId="0010003D" w:rsidR="00024CE5" w:rsidRPr="00616163" w:rsidRDefault="00000000">
      <w:pPr>
        <w:pStyle w:val="Heading2"/>
        <w:spacing w:before="240" w:after="80"/>
        <w:rPr>
          <w:color w:val="000000" w:themeColor="text1"/>
        </w:rPr>
      </w:pPr>
      <w:r w:rsidRPr="00616163">
        <w:rPr>
          <w:rFonts w:ascii="IBM Plex Sans" w:eastAsia="IBM Plex Sans" w:hAnsi="IBM Plex Sans"/>
          <w:b/>
          <w:color w:val="000000" w:themeColor="text1"/>
        </w:rPr>
        <w:lastRenderedPageBreak/>
        <w:t>Exercise 5 — Documentation Rescue</w:t>
      </w:r>
    </w:p>
    <w:p w14:paraId="5FD43A0A" w14:textId="40E613EA" w:rsidR="001E1D83" w:rsidRPr="00C57A1E" w:rsidRDefault="00000000">
      <w:pPr>
        <w:spacing w:after="120" w:line="360" w:lineRule="auto"/>
        <w:rPr>
          <w:rFonts w:ascii="IBM Plex Sans" w:eastAsia="IBM Plex Sans" w:hAnsi="IBM Plex Sans"/>
        </w:rPr>
      </w:pPr>
      <w:r>
        <w:rPr>
          <w:rFonts w:ascii="IBM Plex Sans" w:eastAsia="IBM Plex Sans" w:hAnsi="IBM Plex Sans"/>
        </w:rPr>
        <w:t>The README for this project is intentionally minimal. Ask Bob to read the full repository and produce proper documentation:</w:t>
      </w:r>
    </w:p>
    <w:p w14:paraId="00100040" w14:textId="00100041" w:rsidR="00024CE5" w:rsidRPr="00C57A1E"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C57A1E">
        <w:rPr>
          <w:rFonts w:ascii="IBM Plex Mono" w:eastAsia="Courier New" w:hAnsi="IBM Plex Mono"/>
          <w:color w:val="FFFFFF"/>
          <w:sz w:val="20"/>
        </w:rPr>
        <w:t>Analyse this repository and create proper project documentation. Update the README to explain what the application does, project structure, requirements, how to run it, menu options, inventory storage, and example usage.</w:t>
      </w:r>
    </w:p>
    <w:p w14:paraId="00100042" w14:textId="00100043" w:rsidR="00024CE5" w:rsidRDefault="00000000">
      <w:pPr>
        <w:spacing w:after="240" w:line="360" w:lineRule="auto"/>
      </w:pPr>
      <w:r>
        <w:rPr>
          <w:rFonts w:ascii="IBM Plex Sans" w:eastAsia="IBM Plex Sans" w:hAnsi="IBM Plex Sans"/>
        </w:rPr>
        <w:t>Bob will analyse every source file, infer the architecture and data flows, and produce a complete README covering all requested sections. This exercise shows Bob's ability to generate documentation from code alone — no existing docs required.</w:t>
      </w:r>
    </w:p>
    <w:p w14:paraId="49964ABA" w14:textId="49964ABB" w:rsidR="00030D0B" w:rsidRPr="00616163" w:rsidRDefault="00000000">
      <w:pPr>
        <w:pStyle w:val="Heading2"/>
        <w:spacing w:before="240" w:after="80"/>
        <w:rPr>
          <w:color w:val="000000" w:themeColor="text1"/>
        </w:rPr>
      </w:pPr>
      <w:r w:rsidRPr="00616163">
        <w:rPr>
          <w:rFonts w:ascii="IBM Plex Sans" w:eastAsia="IBM Plex Sans" w:hAnsi="IBM Plex Sans"/>
          <w:b/>
          <w:color w:val="000000" w:themeColor="text1"/>
        </w:rPr>
        <w:t>Exercise 6 — Turn This Into a Website (Optional)</w:t>
      </w:r>
    </w:p>
    <w:p w14:paraId="49964ABC" w14:textId="2DCFCA09" w:rsidR="00030D0B" w:rsidRDefault="00000000">
      <w:pPr>
        <w:spacing w:after="120" w:line="360" w:lineRule="auto"/>
      </w:pPr>
      <w:r>
        <w:rPr>
          <w:rFonts w:ascii="IBM Plex Sans" w:eastAsia="IBM Plex Sans" w:hAnsi="IBM Plex Sans"/>
        </w:rPr>
        <w:t>This optional exercise shows how Bob can take a</w:t>
      </w:r>
      <w:r w:rsidR="00616163">
        <w:rPr>
          <w:rFonts w:ascii="IBM Plex Sans" w:eastAsia="IBM Plex Sans" w:hAnsi="IBM Plex Sans"/>
        </w:rPr>
        <w:t xml:space="preserve">n </w:t>
      </w:r>
      <w:r>
        <w:rPr>
          <w:rFonts w:ascii="IBM Plex Sans" w:eastAsia="IBM Plex Sans" w:hAnsi="IBM Plex Sans"/>
        </w:rPr>
        <w:t xml:space="preserve">application and plan — or even begin building — a web version of it. It is a strong demonstration of Bob's ability to reason about architecture and transformation at scale. </w:t>
      </w:r>
      <w:r w:rsidR="00616163">
        <w:rPr>
          <w:rFonts w:ascii="IBM Plex Sans" w:eastAsia="IBM Plex Sans" w:hAnsi="IBM Plex Sans"/>
        </w:rPr>
        <w:t>Ask Bob:</w:t>
      </w:r>
    </w:p>
    <w:p w14:paraId="49964ABE" w14:textId="49964ABF" w:rsidR="00030D0B" w:rsidRPr="00C57A1E"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C57A1E">
        <w:rPr>
          <w:rFonts w:ascii="IBM Plex Mono" w:eastAsia="Courier New" w:hAnsi="IBM Plex Mono"/>
          <w:color w:val="FFFFFF"/>
          <w:sz w:val="20"/>
        </w:rPr>
        <w:t>Turn this terminal application into a website. Suggest an appropriate Python web framework, describe how you would structure the project, and outline how each part of the existing code would map across to the web version.</w:t>
      </w:r>
    </w:p>
    <w:p w14:paraId="49964AC0" w14:textId="49964AC1" w:rsidR="00030D0B" w:rsidRDefault="00000000">
      <w:pPr>
        <w:spacing w:after="120" w:line="360" w:lineRule="auto"/>
      </w:pPr>
      <w:r>
        <w:rPr>
          <w:rFonts w:ascii="IBM Plex Sans" w:eastAsia="IBM Plex Sans" w:hAnsi="IBM Plex Sans"/>
        </w:rPr>
        <w:t>Bob will recommend a framework (typically Flask or FastAPI), map the existing modules to routes and templates, and explain how the inventory JSON, checkout logic, and sales history would translate into a web context. You can then follow up with:</w:t>
      </w:r>
    </w:p>
    <w:p w14:paraId="49964AC2" w14:textId="49964AC3" w:rsidR="00030D0B" w:rsidRPr="00C57A1E"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C57A1E">
        <w:rPr>
          <w:rFonts w:ascii="IBM Plex Mono" w:eastAsia="Courier New" w:hAnsi="IBM Plex Mono"/>
          <w:color w:val="FFFFFF"/>
          <w:sz w:val="20"/>
        </w:rPr>
        <w:t>Go ahead and scaffold the project structure and create the first working route.</w:t>
      </w:r>
    </w:p>
    <w:p w14:paraId="6C8BADF3" w14:textId="6E0384D0" w:rsidR="001E1D83" w:rsidRPr="008872A4" w:rsidRDefault="00000000">
      <w:pPr>
        <w:spacing w:after="240" w:line="360" w:lineRule="auto"/>
        <w:rPr>
          <w:rFonts w:ascii="IBM Plex Sans" w:eastAsia="IBM Plex Sans" w:hAnsi="IBM Plex Sans"/>
        </w:rPr>
      </w:pPr>
      <w:r>
        <w:rPr>
          <w:rFonts w:ascii="IBM Plex Sans" w:eastAsia="IBM Plex Sans" w:hAnsi="IBM Plex Sans"/>
        </w:rPr>
        <w:t>This exercise has no single correct answer — the value is in watching Bob reason about the transformation from scratch and produce a coherent plan from an unstructured request.</w:t>
      </w:r>
      <w:r w:rsidR="00616163">
        <w:rPr>
          <w:rFonts w:ascii="IBM Plex Sans" w:eastAsia="IBM Plex Sans" w:hAnsi="IBM Plex Sans"/>
        </w:rPr>
        <w:t xml:space="preserve"> From there you can </w:t>
      </w:r>
      <w:r w:rsidR="008872A4">
        <w:rPr>
          <w:rFonts w:ascii="IBM Plex Sans" w:eastAsia="IBM Plex Sans" w:hAnsi="IBM Plex Sans"/>
        </w:rPr>
        <w:t xml:space="preserve"> use your creativity to change it the designs or functions to however way you can come up with.</w:t>
      </w:r>
    </w:p>
    <w:p w14:paraId="00100044" w14:textId="00100045" w:rsidR="00024CE5" w:rsidRPr="00616163" w:rsidRDefault="00000000">
      <w:pPr>
        <w:pStyle w:val="Heading1"/>
        <w:spacing w:after="120"/>
        <w:rPr>
          <w:color w:val="000000" w:themeColor="text1"/>
        </w:rPr>
      </w:pPr>
      <w:r w:rsidRPr="00616163">
        <w:rPr>
          <w:rFonts w:ascii="IBM Plex Sans" w:eastAsia="IBM Plex Sans" w:hAnsi="IBM Plex Sans"/>
          <w:b/>
          <w:color w:val="000000" w:themeColor="text1"/>
        </w:rPr>
        <w:lastRenderedPageBreak/>
        <w:t>Tips for the Demo</w:t>
      </w:r>
    </w:p>
    <w:p w14:paraId="00100046" w14:textId="76C55416" w:rsidR="00024CE5" w:rsidRDefault="00000000">
      <w:pPr>
        <w:numPr>
          <w:ilvl w:val="0"/>
          <w:numId w:val="1"/>
        </w:numPr>
        <w:spacing w:after="80" w:line="360" w:lineRule="auto"/>
      </w:pPr>
      <w:r>
        <w:rPr>
          <w:rFonts w:ascii="IBM Plex Sans" w:eastAsia="IBM Plex Sans" w:hAnsi="IBM Plex Sans"/>
        </w:rPr>
        <w:t xml:space="preserve">Run the app first — before starting, run python main.py from the </w:t>
      </w:r>
      <w:proofErr w:type="spellStart"/>
      <w:r>
        <w:rPr>
          <w:rFonts w:ascii="IBM Plex Sans" w:eastAsia="IBM Plex Sans" w:hAnsi="IBM Plex Sans"/>
        </w:rPr>
        <w:t>dragon_shop</w:t>
      </w:r>
      <w:proofErr w:type="spellEnd"/>
      <w:r>
        <w:rPr>
          <w:rFonts w:ascii="IBM Plex Sans" w:eastAsia="IBM Plex Sans" w:hAnsi="IBM Plex Sans"/>
        </w:rPr>
        <w:t xml:space="preserve"> folder to show what the application looks like at the terminal.</w:t>
      </w:r>
    </w:p>
    <w:p w14:paraId="0010004A" w14:textId="0010004B" w:rsidR="00024CE5" w:rsidRDefault="00000000">
      <w:pPr>
        <w:numPr>
          <w:ilvl w:val="0"/>
          <w:numId w:val="1"/>
        </w:numPr>
        <w:spacing w:after="80" w:line="360" w:lineRule="auto"/>
      </w:pPr>
      <w:r>
        <w:rPr>
          <w:rFonts w:ascii="IBM Plex Sans" w:eastAsia="IBM Plex Sans" w:hAnsi="IBM Plex Sans"/>
        </w:rPr>
        <w:t>Do the exercises in order — each exercise builds on or complements the previous one, and the bug fix in Exercise 1 is required before demonstrating the discount feature in Exercise 2.</w:t>
      </w:r>
    </w:p>
    <w:p w14:paraId="0010004C" w14:textId="2C6AC026" w:rsidR="00024CE5" w:rsidRDefault="00024CE5" w:rsidP="00616163">
      <w:pPr>
        <w:spacing w:after="240" w:line="360" w:lineRule="auto"/>
      </w:pPr>
    </w:p>
    <w:sectPr w:rsidR="00024CE5">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BM Plex Sans">
    <w:panose1 w:val="020B0503050203000203"/>
    <w:charset w:val="00"/>
    <w:family w:val="swiss"/>
    <w:notTrueType/>
    <w:pitch w:val="variable"/>
    <w:sig w:usb0="A00002EF" w:usb1="5000203B" w:usb2="00000000" w:usb3="00000000" w:csb0="0000019F" w:csb1="00000000"/>
  </w:font>
  <w:font w:name="IBM Plex Mono">
    <w:panose1 w:val="020B0509050203000203"/>
    <w:charset w:val="4D"/>
    <w:family w:val="modern"/>
    <w:notTrueType/>
    <w:pitch w:val="fixed"/>
    <w:sig w:usb0="A000026F" w:usb1="4000393B" w:usb2="00000000" w:usb3="00000000" w:csb0="00000197"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3D1A51"/>
    <w:multiLevelType w:val="hybridMultilevel"/>
    <w:tmpl w:val="8B2ED156"/>
    <w:lvl w:ilvl="0" w:tplc="51D602C6">
      <w:start w:val="1"/>
      <w:numFmt w:val="bullet"/>
      <w:lvlText w:val="•"/>
      <w:lvlJc w:val="left"/>
      <w:pPr>
        <w:ind w:left="720" w:hanging="360"/>
      </w:pPr>
    </w:lvl>
    <w:lvl w:ilvl="1" w:tplc="E44AA22C">
      <w:start w:val="1"/>
      <w:numFmt w:val="bullet"/>
      <w:lvlText w:val="◦"/>
      <w:lvlJc w:val="left"/>
      <w:pPr>
        <w:ind w:left="1440" w:hanging="360"/>
      </w:pPr>
    </w:lvl>
    <w:lvl w:ilvl="2" w:tplc="FC8A05C4">
      <w:start w:val="1"/>
      <w:numFmt w:val="bullet"/>
      <w:lvlText w:val="▪"/>
      <w:lvlJc w:val="left"/>
      <w:pPr>
        <w:ind w:left="2160" w:hanging="360"/>
      </w:pPr>
    </w:lvl>
    <w:lvl w:ilvl="3" w:tplc="B23AC922">
      <w:start w:val="1"/>
      <w:numFmt w:val="bullet"/>
      <w:lvlText w:val="•"/>
      <w:lvlJc w:val="left"/>
      <w:pPr>
        <w:ind w:left="2880" w:hanging="360"/>
      </w:pPr>
    </w:lvl>
    <w:lvl w:ilvl="4" w:tplc="D09A5D12">
      <w:start w:val="1"/>
      <w:numFmt w:val="bullet"/>
      <w:lvlText w:val="◦"/>
      <w:lvlJc w:val="left"/>
      <w:pPr>
        <w:ind w:left="3600" w:hanging="360"/>
      </w:pPr>
    </w:lvl>
    <w:lvl w:ilvl="5" w:tplc="F0A6BB9E">
      <w:start w:val="1"/>
      <w:numFmt w:val="bullet"/>
      <w:lvlText w:val="▪"/>
      <w:lvlJc w:val="left"/>
      <w:pPr>
        <w:ind w:left="4320" w:hanging="360"/>
      </w:pPr>
    </w:lvl>
    <w:lvl w:ilvl="6" w:tplc="41A6ED52">
      <w:start w:val="1"/>
      <w:numFmt w:val="bullet"/>
      <w:lvlText w:val="•"/>
      <w:lvlJc w:val="left"/>
      <w:pPr>
        <w:ind w:left="5040" w:hanging="360"/>
      </w:pPr>
    </w:lvl>
    <w:lvl w:ilvl="7" w:tplc="24DEB7D8">
      <w:start w:val="1"/>
      <w:numFmt w:val="bullet"/>
      <w:lvlText w:val="◦"/>
      <w:lvlJc w:val="left"/>
      <w:pPr>
        <w:ind w:left="5760" w:hanging="360"/>
      </w:pPr>
    </w:lvl>
    <w:lvl w:ilvl="8" w:tplc="5EA2D0E4">
      <w:start w:val="1"/>
      <w:numFmt w:val="bullet"/>
      <w:lvlText w:val="▪"/>
      <w:lvlJc w:val="left"/>
      <w:pPr>
        <w:ind w:left="6480" w:hanging="360"/>
      </w:pPr>
    </w:lvl>
  </w:abstractNum>
  <w:num w:numId="1" w16cid:durableId="2710585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CE5"/>
    <w:rsid w:val="00024CE5"/>
    <w:rsid w:val="00030D0B"/>
    <w:rsid w:val="001D0801"/>
    <w:rsid w:val="001E1D83"/>
    <w:rsid w:val="0027582F"/>
    <w:rsid w:val="00616163"/>
    <w:rsid w:val="007D438A"/>
    <w:rsid w:val="008872A4"/>
    <w:rsid w:val="00A77FC7"/>
    <w:rsid w:val="00C57A1E"/>
    <w:rsid w:val="00EF315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117C1E34"/>
  <w15:docId w15:val="{B27C7244-3C87-AE40-8109-6BD94873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szCs w:val="22"/>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Tai Ferneyhough</cp:lastModifiedBy>
  <cp:revision>7</cp:revision>
  <dcterms:created xsi:type="dcterms:W3CDTF">2026-09-22T23:48:00Z</dcterms:created>
  <dcterms:modified xsi:type="dcterms:W3CDTF">2026-10-01T00:05:00Z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2026-09-23T02:45:34Z</vt:lpwstr>
  </property>
</Properties>
</file>