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t xml:space="preserve">
</w:t>
      </w:r>
    </w:p>
    <w:p>
      <w:pPr>
        <w:spacing w:after="100"/>
        <w:jc w:val="center"/>
      </w:pPr>
      <w:r>
        <w:rPr>
          <w:b/>
          <w:bCs/>
          <w:color w:val="5C1E30"/>
          <w:sz w:val="72"/>
          <w:szCs w:val="72"/>
          <w:rFonts w:ascii="Calibri" w:cs="Calibri" w:eastAsia="Calibri" w:hAnsi="Calibri"/>
        </w:rPr>
        <w:t xml:space="preserve">SIGECOP</w:t>
      </w:r>
    </w:p>
    <w:p>
      <w:pPr>
        <w:spacing w:after="500"/>
        <w:jc w:val="center"/>
      </w:pPr>
      <w:r>
        <w:rPr>
          <w:b/>
          <w:bCs/>
          <w:color w:val="444444"/>
          <w:sz w:val="28"/>
          <w:szCs w:val="28"/>
          <w:rFonts w:ascii="Calibri" w:cs="Calibri" w:eastAsia="Calibri" w:hAnsi="Calibri"/>
        </w:rPr>
        <w:t xml:space="preserve">Sistema de Gestión Técnico-Administrativa de Contratos de Obra Pública</w:t>
      </w:r>
    </w:p>
    <w:p>
      <w:pPr>
        <w:spacing w:after="2000"/>
        <w:jc w:val="center"/>
      </w:pPr>
      <w:r>
        <w:rPr>
          <w:b/>
          <w:bCs/>
          <w:color w:val="666666"/>
          <w:sz w:val="20"/>
          <w:szCs w:val="20"/>
          <w:rFonts w:ascii="Calibri" w:cs="Calibri" w:eastAsia="Calibri" w:hAnsi="Calibri"/>
        </w:rPr>
        <w:t xml:space="preserve">REPORTE TÉCNICO Y PLAN DE IMPLEMENTACIÓN DETALLADO</w:t>
      </w:r>
    </w:p>
    <w:p>
      <w:pPr>
        <w:spacing w:before="1000"/>
        <w:jc w:val="left"/>
      </w:pPr>
      <w:r>
        <w:rPr>
          <w:b/>
          <w:bCs/>
          <w:sz w:val="24"/>
          <w:szCs w:val="24"/>
          <w:rFonts w:ascii="Calibri" w:cs="Calibri" w:eastAsia="Calibri" w:hAnsi="Calibri"/>
        </w:rPr>
        <w:t xml:space="preserve">Preparado para: Equipo SIGECOP
</w:t>
      </w:r>
      <w:r>
        <w:rPr>
          <w:sz w:val="24"/>
          <w:szCs w:val="24"/>
          <w:rFonts w:ascii="Calibri" w:cs="Calibri" w:eastAsia="Calibri" w:hAnsi="Calibri"/>
        </w:rPr>
        <w:t xml:space="preserve">Desarrollado por: Antigravity AI Pair Programmer
</w:t>
      </w:r>
      <w:r>
        <w:rPr>
          <w:sz w:val="24"/>
          <w:szCs w:val="24"/>
          <w:rFonts w:ascii="Calibri" w:cs="Calibri" w:eastAsia="Calibri" w:hAnsi="Calibri"/>
        </w:rPr>
        <w:t xml:space="preserve">Fecha: Julio 2026</w:t>
      </w:r>
    </w:p>
    <w:p>
      <w:pPr>
        <w:pageBreakBefore/>
      </w:pPr>
    </w:p>
    <w:p>
      <w:pPr>
        <w:pStyle w:val="Heading1"/>
        <w:spacing w:before="200" w:after="150"/>
      </w:pPr>
      <w:r>
        <w:t xml:space="preserve">1. Introducción y Contexto Legal</w:t>
      </w:r>
    </w:p>
    <w:p>
      <w:pPr>
        <w:spacing w:after="120"/>
      </w:pPr>
      <w:r>
        <w:rPr>
          <w:sz w:val="24"/>
          <w:szCs w:val="24"/>
          <w:rFonts w:ascii="Calibri" w:cs="Calibri" w:eastAsia="Calibri" w:hAnsi="Calibri"/>
        </w:rPr>
        <w:t xml:space="preserve">El Sistema de Gestión Técnico-Administrativa de Contratos de Obra Pública (SIGECOP) es una plataforma web integral diseñada para digitalizar, transparentar y eficientar el ciclo de vida de los contratos de obra pública en México. El desarrollo del sistema responde directamente a las obligaciones y normativas establecidas en la Ley de Obras Públicas y Servicios Relacionados con las Mismas (LOPSRM), su Reglamento (RLOPSRM) y la Ley Federal de Derechos (LFD).</w:t>
      </w:r>
    </w:p>
    <w:p>
      <w:pPr>
        <w:spacing w:before="100" w:after="100"/>
      </w:pPr>
      <w:r>
        <w:rPr>
          <w:b/>
          <w:bCs/>
          <w:sz w:val="24"/>
          <w:szCs w:val="24"/>
          <w:rFonts w:ascii="Calibri" w:cs="Calibri" w:eastAsia="Calibri" w:hAnsi="Calibri"/>
        </w:rPr>
        <w:t xml:space="preserve">Marco Normativo Clave Integrado en el Sistema:</w:t>
      </w:r>
    </w:p>
    <w:p>
      <w:pPr>
        <w:spacing w:after="80"/>
      </w:pPr>
      <w:r>
        <w:rPr>
          <w:b/>
          <w:bCs/>
          <w:sz w:val="24"/>
          <w:szCs w:val="24"/>
          <w:rFonts w:ascii="Calibri" w:cs="Calibri" w:eastAsia="Calibri" w:hAnsi="Calibri"/>
        </w:rPr>
        <w:t xml:space="preserve">• Bitácora Electrónica Obligatoria (Art. 46 último párrafo y Art. 52 Bis LOPSRM, Art. 122 y 125 RLOPSRM): </w:t>
      </w:r>
      <w:r>
        <w:rPr>
          <w:sz w:val="24"/>
          <w:szCs w:val="24"/>
          <w:rFonts w:ascii="Calibri" w:cs="Calibri" w:eastAsia="Calibri" w:hAnsi="Calibri"/>
        </w:rPr>
        <w:t xml:space="preserve">El sistema automatiza la apertura formal de la bitácora en la fecha de entrega del sitio y restringe la emisión y respuesta de notas firmadas según el rol del usuario (residente autoriza/aprueba, superintendente solicita/avisa y supervisión registra avances), manteniendo la inmutabilidad de los registros y folios correlativos automáticos.</w:t>
      </w:r>
    </w:p>
    <w:p>
      <w:pPr>
        <w:spacing w:after="80"/>
      </w:pPr>
      <w:r>
        <w:rPr>
          <w:b/>
          <w:bCs/>
          <w:sz w:val="24"/>
          <w:szCs w:val="24"/>
          <w:rFonts w:ascii="Calibri" w:cs="Calibri" w:eastAsia="Calibri" w:hAnsi="Calibri"/>
        </w:rPr>
        <w:t xml:space="preserve">• Plazos de Presentación, Revisión y Pago de Estimaciones (Art. 54 LOPSRM, Art. 132 y 133 RLOPSRM): </w:t>
      </w:r>
      <w:r>
        <w:rPr>
          <w:sz w:val="24"/>
          <w:szCs w:val="24"/>
          <w:rFonts w:ascii="Calibri" w:cs="Calibri" w:eastAsia="Calibri" w:hAnsi="Calibri"/>
        </w:rPr>
        <w:t xml:space="preserve">Controla estrictamente los plazos legales: 6 días naturales para la presentación por el contratista, 15 días naturales para la revisión técnica/autorización secuencial de supervisión y residencia, y 20 días naturales para que la dependencia realice el pago tras la autorización. El sistema incluye semáforos de advertencia para mitigar el riesgo de gastos financieros por mora (Art. 55 LOPSRM).</w:t>
      </w:r>
    </w:p>
    <w:p>
      <w:pPr>
        <w:spacing w:after="80"/>
      </w:pPr>
      <w:r>
        <w:rPr>
          <w:b/>
          <w:bCs/>
          <w:sz w:val="24"/>
          <w:szCs w:val="24"/>
          <w:rFonts w:ascii="Calibri" w:cs="Calibri" w:eastAsia="Calibri" w:hAnsi="Calibri"/>
        </w:rPr>
        <w:t xml:space="preserve">• Convenios Modificatorios (Art. 59 y 59 Bis LOPSRM): </w:t>
      </w:r>
      <w:r>
        <w:rPr>
          <w:sz w:val="24"/>
          <w:szCs w:val="24"/>
          <w:rFonts w:ascii="Calibri" w:cs="Calibri" w:eastAsia="Calibri" w:hAnsi="Calibri"/>
        </w:rPr>
        <w:t xml:space="preserve">Regula el registro de modificaciones al monto, plazo o conceptos, detectando automáticamente si superan el 50% del importe o plazo original para exigir autorizaciones especiales (Art. 59 Bis) y controlando el histórico de versiones del catálogo de conceptos y programa de obra.</w:t>
      </w:r>
    </w:p>
    <w:p>
      <w:pPr>
        <w:spacing w:after="80"/>
      </w:pPr>
      <w:r>
        <w:rPr>
          <w:b/>
          <w:bCs/>
          <w:sz w:val="24"/>
          <w:szCs w:val="24"/>
          <w:rFonts w:ascii="Calibri" w:cs="Calibri" w:eastAsia="Calibri" w:hAnsi="Calibri"/>
        </w:rPr>
        <w:t xml:space="preserve">• Retención del 5 al millar (Art. 191 LFD): </w:t>
      </w:r>
      <w:r>
        <w:rPr>
          <w:sz w:val="24"/>
          <w:szCs w:val="24"/>
          <w:rFonts w:ascii="Calibri" w:cs="Calibri" w:eastAsia="Calibri" w:hAnsi="Calibri"/>
        </w:rPr>
        <w:t xml:space="preserve">Cálculo automático de la retención por el servicio de vigilancia, inspección y control de obras sobre cada estimación cobrada.</w:t>
      </w:r>
    </w:p>
    <w:p>
      <w:pPr>
        <w:pStyle w:val="Heading1"/>
        <w:spacing w:before="200" w:after="150"/>
      </w:pPr>
      <w:r>
        <w:t xml:space="preserve">2. Arquitectura de Software Propuesta</w:t>
      </w:r>
    </w:p>
    <w:p>
      <w:pPr>
        <w:spacing w:after="120"/>
      </w:pPr>
      <w:r>
        <w:rPr>
          <w:sz w:val="24"/>
          <w:szCs w:val="24"/>
          <w:rFonts w:ascii="Calibri" w:cs="Calibri" w:eastAsia="Calibri" w:hAnsi="Calibri"/>
        </w:rPr>
        <w:t xml:space="preserve">Para cumplir con las demandas de seguridad, inmutabilidad de la bitácora, consistencia en estimaciones y una experiencia visual de primer nivel, se propone una arquitectura robusta basada en las siguientes tecnologías:</w:t>
      </w:r>
    </w:p>
    <w:p>
      <w:pPr>
        <w:spacing w:after="80"/>
      </w:pPr>
      <w:r>
        <w:rPr>
          <w:b/>
          <w:bCs/>
          <w:sz w:val="24"/>
          <w:szCs w:val="24"/>
          <w:rFonts w:ascii="Calibri" w:cs="Calibri" w:eastAsia="Calibri" w:hAnsi="Calibri"/>
        </w:rPr>
        <w:t xml:space="preserve">• Frontend (Aplicación de Cliente): </w:t>
      </w:r>
      <w:r>
        <w:rPr>
          <w:sz w:val="24"/>
          <w:szCs w:val="24"/>
          <w:rFonts w:ascii="Calibri" w:cs="Calibri" w:eastAsia="Calibri" w:hAnsi="Calibri"/>
        </w:rPr>
        <w:t xml:space="preserve">Desarrollado en React con Vite, lo que asegura un rendimiento ultrarrápido y modularidad. Para la maquetación se usará CSS vainilla estructurado en variables de diseño. El diseño implementará una estética premium de tipo 'Glassmorphism' con un esquema de colores institucional que destaca el color guinda de SIGECOP (#5C1E30) y contrastes limpios. Incluirá micro-animaciones en botones, transiciones fluidas de página y componentes interactivos como calendarios Gantt responsivos y gráficas para curvas de avance (utilizando Chart.js o Recharts).</w:t>
      </w:r>
    </w:p>
    <w:p>
      <w:pPr>
        <w:spacing w:after="80"/>
      </w:pPr>
      <w:r>
        <w:rPr>
          <w:b/>
          <w:bCs/>
          <w:sz w:val="24"/>
          <w:szCs w:val="24"/>
          <w:rFonts w:ascii="Calibri" w:cs="Calibri" w:eastAsia="Calibri" w:hAnsi="Calibri"/>
        </w:rPr>
        <w:t xml:space="preserve">• Backend (Servidor de API): </w:t>
      </w:r>
      <w:r>
        <w:rPr>
          <w:sz w:val="24"/>
          <w:szCs w:val="24"/>
          <w:rFonts w:ascii="Calibri" w:cs="Calibri" w:eastAsia="Calibri" w:hAnsi="Calibri"/>
        </w:rPr>
        <w:t xml:space="preserve">Una RESTful API basada en Node.js y Express.js. Incorpora autenticación mediante JSON Web Tokens (JWT) almacenados en cookies HTTP-only para mitigar ataques XSS. Implementa un middleware de control de accesos basado en roles (RBAC) que deduce automáticamente el rol del usuario autenticado sin requerir una selección explícita del rol en el formulario de inicio de sesión.</w:t>
      </w:r>
    </w:p>
    <w:p>
      <w:pPr>
        <w:spacing w:after="80"/>
      </w:pPr>
      <w:r>
        <w:rPr>
          <w:b/>
          <w:bCs/>
          <w:sz w:val="24"/>
          <w:szCs w:val="24"/>
          <w:rFonts w:ascii="Calibri" w:cs="Calibri" w:eastAsia="Calibri" w:hAnsi="Calibri"/>
        </w:rPr>
        <w:t xml:space="preserve">• Base de Datos: </w:t>
      </w:r>
      <w:r>
        <w:rPr>
          <w:sz w:val="24"/>
          <w:szCs w:val="24"/>
          <w:rFonts w:ascii="Calibri" w:cs="Calibri" w:eastAsia="Calibri" w:hAnsi="Calibri"/>
        </w:rPr>
        <w:t xml:space="preserve">PostgreSQL, un sistema de base de datos relacional y transaccional que garantiza la integridad referencial y el cumplimiento ACID, indispensables para la inmutabilidad de la bitácora y la trazabilidad de los pagos financieros. El motor maneja disparadores (triggers) y restricciones de llave única para evitar la duplicación de folios o la sobreejecución de conceptos.</w:t>
      </w:r>
    </w:p>
    <w:p>
      <w:pPr>
        <w:pStyle w:val="Heading1"/>
        <w:spacing w:before="200" w:after="150"/>
      </w:pPr>
      <w:r>
        <w:t xml:space="preserve">3. Estructura de la Base de Datos</w:t>
      </w:r>
    </w:p>
    <w:p>
      <w:pPr>
        <w:spacing w:after="120"/>
      </w:pPr>
      <w:r>
        <w:rPr>
          <w:sz w:val="24"/>
          <w:szCs w:val="24"/>
          <w:rFonts w:ascii="Calibri" w:cs="Calibri" w:eastAsia="Calibri" w:hAnsi="Calibri"/>
        </w:rPr>
        <w:t xml:space="preserve">A continuación se definen los esquemas de bases de datos relacionales propuestos para soportar la integridad del sistema:</w:t>
      </w:r>
    </w:p>
    <w:p>
      <w:pPr>
        <w:spacing w:after="80"/>
      </w:pPr>
      <w:r>
        <w:rPr>
          <w:b/>
          <w:bCs/>
          <w:sz w:val="24"/>
          <w:szCs w:val="24"/>
          <w:rFonts w:ascii="Calibri" w:cs="Calibri" w:eastAsia="Calibri" w:hAnsi="Calibri"/>
        </w:rPr>
        <w:t xml:space="preserve">• Tabla: Usuarios
</w:t>
      </w:r>
      <w:r>
        <w:rPr>
          <w:sz w:val="24"/>
          <w:szCs w:val="24"/>
          <w:rFonts w:ascii="Calibri" w:cs="Calibri" w:eastAsia="Calibri" w:hAnsi="Calibri"/>
        </w:rPr>
        <w:t xml:space="preserve">Almacena los datos generales de acceso. Columnas: id (PK), email (unique), password_hash, nombre, rol (residente, contratista, supervision, dependencia, finanzas), estado_aprobacion (pendiente, aprobado, rechazado), creado_por, aprobado_por (FK Usuarios), aprobado_en (timestamp).</w:t>
      </w:r>
    </w:p>
    <w:p>
      <w:pPr>
        <w:spacing w:after="80"/>
      </w:pPr>
      <w:r>
        <w:rPr>
          <w:b/>
          <w:bCs/>
          <w:sz w:val="24"/>
          <w:szCs w:val="24"/>
          <w:rFonts w:ascii="Calibri" w:cs="Calibri" w:eastAsia="Calibri" w:hAnsi="Calibri"/>
        </w:rPr>
        <w:t xml:space="preserve">• Tabla: Contratos
</w:t>
      </w:r>
      <w:r>
        <w:rPr>
          <w:sz w:val="24"/>
          <w:szCs w:val="24"/>
          <w:rFonts w:ascii="Calibri" w:cs="Calibri" w:eastAsia="Calibri" w:hAnsi="Calibri"/>
        </w:rPr>
        <w:t xml:space="preserve">Registra los datos contractuales. Columnas: id (PK), folio (unique), objeto, monto_subtotal, iva, monto_total, fecha_inicio, fecha_termino, plazo_dias, modalidad_pago, residente_id (FK Usuarios), superintendente_id (FK Usuarios), supervision_id (FK Usuarios, nullable), pdf_contrato_path, creado_en.</w:t>
      </w:r>
    </w:p>
    <w:p>
      <w:pPr>
        <w:spacing w:after="80"/>
      </w:pPr>
      <w:r>
        <w:rPr>
          <w:b/>
          <w:bCs/>
          <w:sz w:val="24"/>
          <w:szCs w:val="24"/>
          <w:rFonts w:ascii="Calibri" w:cs="Calibri" w:eastAsia="Calibri" w:hAnsi="Calibri"/>
        </w:rPr>
        <w:t xml:space="preserve">• Tabla: Catalogo_Conceptos
</w:t>
      </w:r>
      <w:r>
        <w:rPr>
          <w:sz w:val="24"/>
          <w:szCs w:val="24"/>
          <w:rFonts w:ascii="Calibri" w:cs="Calibri" w:eastAsia="Calibri" w:hAnsi="Calibri"/>
        </w:rPr>
        <w:t xml:space="preserve">Conceptos originales del contrato. Columnas: id (PK), contrato_id (FK Contratos), clave (unique en el contrato), descripcion, unidad, precio_unitario, cantidad_original, version_id (para control de convenios).</w:t>
      </w:r>
    </w:p>
    <w:p>
      <w:pPr>
        <w:spacing w:after="80"/>
      </w:pPr>
      <w:r>
        <w:rPr>
          <w:b/>
          <w:bCs/>
          <w:sz w:val="24"/>
          <w:szCs w:val="24"/>
          <w:rFonts w:ascii="Calibri" w:cs="Calibri" w:eastAsia="Calibri" w:hAnsi="Calibri"/>
        </w:rPr>
        <w:t xml:space="preserve">• Tabla: Bitacora_Notas
</w:t>
      </w:r>
      <w:r>
        <w:rPr>
          <w:sz w:val="24"/>
          <w:szCs w:val="24"/>
          <w:rFonts w:ascii="Calibri" w:cs="Calibri" w:eastAsia="Calibri" w:hAnsi="Calibri"/>
        </w:rPr>
        <w:t xml:space="preserve">Bitácora electrónica. Columnas: id (PK), contrato_id (FK Contratos), folio_nota (correlativo), tipo_nota (apertura, avance, desvío, solicitud, etc.), contenido, creado_por (FK Usuarios), fecha_hora_firma, firma_electronica_hash, nota_vinculada_id (FK Bitacora_Notas, para modificaciones 'dice / debe decir').</w:t>
      </w:r>
    </w:p>
    <w:p>
      <w:pPr>
        <w:spacing w:after="80"/>
      </w:pPr>
      <w:r>
        <w:rPr>
          <w:b/>
          <w:bCs/>
          <w:sz w:val="24"/>
          <w:szCs w:val="24"/>
          <w:rFonts w:ascii="Calibri" w:cs="Calibri" w:eastAsia="Calibri" w:hAnsi="Calibri"/>
        </w:rPr>
        <w:t xml:space="preserve">• Tabla: Estimaciones
</w:t>
      </w:r>
      <w:r>
        <w:rPr>
          <w:sz w:val="24"/>
          <w:szCs w:val="24"/>
          <w:rFonts w:ascii="Calibri" w:cs="Calibri" w:eastAsia="Calibri" w:hAnsi="Calibri"/>
        </w:rPr>
        <w:t xml:space="preserve">Estimaciones de obra. Columnas: id (PK), contrato_id (FK Contratos), periodo_numero, fecha_inicio, fecha_fin, fecha_presentacion, fecha_revision_supervision, fecha_autorizacion_residencia, estado (presentada, en_revision, autorizada, rechazada, en_pago, pagada), anticipo_amortizado, retencion_5_millar, penalizaciones, total_a_pagar, pdf_soporte_path, version_numero.</w:t>
      </w:r>
    </w:p>
    <w:p>
      <w:pPr>
        <w:pStyle w:val="Heading1"/>
        <w:pageBreakBefore/>
        <w:spacing w:before="200" w:after="150"/>
      </w:pPr>
      <w:r>
        <w:t xml:space="preserve">4. Especificación Técnica de Historias de Usuario</w:t>
      </w:r>
    </w:p>
    <w:p>
      <w:pPr>
        <w:spacing w:after="120"/>
      </w:pPr>
      <w:r>
        <w:rPr>
          <w:sz w:val="24"/>
          <w:szCs w:val="24"/>
          <w:rFonts w:ascii="Calibri" w:cs="Calibri" w:eastAsia="Calibri" w:hAnsi="Calibri"/>
        </w:rPr>
        <w:t xml:space="preserve">El sistema implementará de forma rigurosa las 22 historias de usuario definidas en la planeación ágil:</w:t>
      </w:r>
    </w:p>
    <w:p>
      <w:pPr>
        <w:pStyle w:val="Heading2"/>
        <w:spacing w:before="150" w:after="80"/>
      </w:pPr>
      <w:r>
        <w:t xml:space="preserve">• HU-00: Inicio de sesión por rol</w:t>
      </w:r>
    </w:p>
    <w:p>
      <w:pPr>
        <w:spacing w:after="100"/>
      </w:pPr>
      <w:r>
        <w:rPr>
          <w:b/>
          <w:bCs/>
          <w:sz w:val="24"/>
          <w:szCs w:val="24"/>
          <w:rFonts w:ascii="Calibri" w:cs="Calibri" w:eastAsia="Calibri" w:hAnsi="Calibri"/>
        </w:rPr>
        <w:t xml:space="preserve">Implementación Técnica: </w:t>
      </w:r>
      <w:r>
        <w:rPr>
          <w:sz w:val="24"/>
          <w:szCs w:val="24"/>
          <w:rFonts w:ascii="Calibri" w:cs="Calibri" w:eastAsia="Calibri" w:hAnsi="Calibri"/>
        </w:rPr>
        <w:t xml:space="preserve">Autenticación basada en JWT que deduce el rol automáticamente desde la base de datos de usuarios (residente, contratista, supervisión, dependencia, finanzas). No requiere selección explícita de rol. Bloquea accesos inválidos o cuentas pendientes.</w:t>
      </w:r>
    </w:p>
    <w:p>
      <w:pPr>
        <w:pStyle w:val="Heading2"/>
        <w:spacing w:before="150" w:after="80"/>
      </w:pPr>
      <w:r>
        <w:t xml:space="preserve">• HU-01: Alta de contratos</w:t>
      </w:r>
    </w:p>
    <w:p>
      <w:pPr>
        <w:spacing w:after="100"/>
      </w:pPr>
      <w:r>
        <w:rPr>
          <w:b/>
          <w:bCs/>
          <w:sz w:val="24"/>
          <w:szCs w:val="24"/>
          <w:rFonts w:ascii="Calibri" w:cs="Calibri" w:eastAsia="Calibri" w:hAnsi="Calibri"/>
        </w:rPr>
        <w:t xml:space="preserve">Implementación Técnica: </w:t>
      </w:r>
      <w:r>
        <w:rPr>
          <w:sz w:val="24"/>
          <w:szCs w:val="24"/>
          <w:rFonts w:ascii="Calibri" w:cs="Calibri" w:eastAsia="Calibri" w:hAnsi="Calibri"/>
        </w:rPr>
        <w:t xml:space="preserve">Formulario unificado para dar de alta contratos con folio único. Captura datos generales, equipo (ligado a cuentas del sistema), catálogo, programa de obra mensual, garantías, plan de amortización del anticipo, retención del 5 al millar y PDF inmutable. Valida catálogo vs monto total.</w:t>
      </w:r>
    </w:p>
    <w:p>
      <w:pPr>
        <w:pStyle w:val="Heading2"/>
        <w:spacing w:before="150" w:after="80"/>
      </w:pPr>
      <w:r>
        <w:t xml:space="preserve">• HU-02: Registro de fianzas y garantías</w:t>
      </w:r>
    </w:p>
    <w:p>
      <w:pPr>
        <w:spacing w:after="100"/>
      </w:pPr>
      <w:r>
        <w:rPr>
          <w:b/>
          <w:bCs/>
          <w:sz w:val="24"/>
          <w:szCs w:val="24"/>
          <w:rFonts w:ascii="Calibri" w:cs="Calibri" w:eastAsia="Calibri" w:hAnsi="Calibri"/>
        </w:rPr>
        <w:t xml:space="preserve">Implementación Técnica: </w:t>
      </w:r>
      <w:r>
        <w:rPr>
          <w:sz w:val="24"/>
          <w:szCs w:val="24"/>
          <w:rFonts w:ascii="Calibri" w:cs="Calibri" w:eastAsia="Calibri" w:hAnsi="Calibri"/>
        </w:rPr>
        <w:t xml:space="preserve">Carga de pólizas de cumplimiento, vicios ocultos y anticipo con vigencia, afianzadora y monto. Notificación programada en backend a los 30, 15 y 5 días antes del vencimiento.</w:t>
      </w:r>
    </w:p>
    <w:p>
      <w:pPr>
        <w:pStyle w:val="Heading2"/>
        <w:spacing w:before="150" w:after="80"/>
      </w:pPr>
      <w:r>
        <w:t xml:space="preserve">• HU-03: Trámite y aplicación de convenios modificatorios</w:t>
      </w:r>
    </w:p>
    <w:p>
      <w:pPr>
        <w:spacing w:after="100"/>
      </w:pPr>
      <w:r>
        <w:rPr>
          <w:b/>
          <w:bCs/>
          <w:sz w:val="24"/>
          <w:szCs w:val="24"/>
          <w:rFonts w:ascii="Calibri" w:cs="Calibri" w:eastAsia="Calibri" w:hAnsi="Calibri"/>
        </w:rPr>
        <w:t xml:space="preserve">Implementación Técnica: </w:t>
      </w:r>
      <w:r>
        <w:rPr>
          <w:sz w:val="24"/>
          <w:szCs w:val="24"/>
          <w:rFonts w:ascii="Calibri" w:cs="Calibri" w:eastAsia="Calibri" w:hAnsi="Calibri"/>
        </w:rPr>
        <w:t xml:space="preserve">Permite a la Dependencia modificar monto, plazo o catálogo. Genera nueva versión del catálogo y programa (Art. 59/59 Bis LOPSRM) manteniendo histórico inalterado y aplicando endosos a fianzas.</w:t>
      </w:r>
    </w:p>
    <w:p>
      <w:pPr>
        <w:pStyle w:val="Heading2"/>
        <w:spacing w:before="150" w:after="80"/>
      </w:pPr>
      <w:r>
        <w:t xml:space="preserve">• HU-04: Consulta integrada del expediente contractual</w:t>
      </w:r>
    </w:p>
    <w:p>
      <w:pPr>
        <w:spacing w:after="100"/>
      </w:pPr>
      <w:r>
        <w:rPr>
          <w:b/>
          <w:bCs/>
          <w:sz w:val="24"/>
          <w:szCs w:val="24"/>
          <w:rFonts w:ascii="Calibri" w:cs="Calibri" w:eastAsia="Calibri" w:hAnsi="Calibri"/>
        </w:rPr>
        <w:t xml:space="preserve">Implementación Técnica: </w:t>
      </w:r>
      <w:r>
        <w:rPr>
          <w:sz w:val="24"/>
          <w:szCs w:val="24"/>
          <w:rFonts w:ascii="Calibri" w:cs="Calibri" w:eastAsia="Calibri" w:hAnsi="Calibri"/>
        </w:rPr>
        <w:t xml:space="preserve">Vista integrada que agrupa la configuración del contrato, catálogo de conceptos, programa de obra, fianzas y documentos jurídicos en pestañas. Filtro AND por folio, contratista u objeto.</w:t>
      </w:r>
    </w:p>
    <w:p>
      <w:pPr>
        <w:pStyle w:val="Heading2"/>
        <w:spacing w:before="150" w:after="80"/>
      </w:pPr>
      <w:r>
        <w:t xml:space="preserve">• HU-05: Visualización del programa y curva de avance</w:t>
      </w:r>
    </w:p>
    <w:p>
      <w:pPr>
        <w:spacing w:after="100"/>
      </w:pPr>
      <w:r>
        <w:rPr>
          <w:b/>
          <w:bCs/>
          <w:sz w:val="24"/>
          <w:szCs w:val="24"/>
          <w:rFonts w:ascii="Calibri" w:cs="Calibri" w:eastAsia="Calibri" w:hAnsi="Calibri"/>
        </w:rPr>
        <w:t xml:space="preserve">Implementación Técnica: </w:t>
      </w:r>
      <w:r>
        <w:rPr>
          <w:sz w:val="24"/>
          <w:szCs w:val="24"/>
          <w:rFonts w:ascii="Calibri" w:cs="Calibri" w:eastAsia="Calibri" w:hAnsi="Calibri"/>
        </w:rPr>
        <w:t xml:space="preserve">Gráfico dinámico de curva S que superpone los avances programado, ejecutado y financiero. Matriz Gantt interactiva que resalta conceptos ejecutados por periodo.</w:t>
      </w:r>
    </w:p>
    <w:p>
      <w:pPr>
        <w:pStyle w:val="Heading2"/>
        <w:spacing w:before="150" w:after="80"/>
      </w:pPr>
      <w:r>
        <w:t xml:space="preserve">• HU-06: Registro de trabajos terminados por periodo</w:t>
      </w:r>
    </w:p>
    <w:p>
      <w:pPr>
        <w:spacing w:after="100"/>
      </w:pPr>
      <w:r>
        <w:rPr>
          <w:b/>
          <w:bCs/>
          <w:sz w:val="24"/>
          <w:szCs w:val="24"/>
          <w:rFonts w:ascii="Calibri" w:cs="Calibri" w:eastAsia="Calibri" w:hAnsi="Calibri"/>
        </w:rPr>
        <w:t xml:space="preserve">Implementación Técnica: </w:t>
      </w:r>
      <w:r>
        <w:rPr>
          <w:sz w:val="24"/>
          <w:szCs w:val="24"/>
          <w:rFonts w:ascii="Calibri" w:cs="Calibri" w:eastAsia="Calibri" w:hAnsi="Calibri"/>
        </w:rPr>
        <w:t xml:space="preserve">Permite al Contratista capturar cantidades físicas ejecutadas ligadas a notas de bitácora. El sistema previene capturar cantidades que acumuladas excedan lo contratado (Art. 118 RLOPSRM).</w:t>
      </w:r>
    </w:p>
    <w:p>
      <w:pPr>
        <w:pStyle w:val="Heading2"/>
        <w:spacing w:before="150" w:after="80"/>
      </w:pPr>
      <w:r>
        <w:t xml:space="preserve">• HU-07: Configuración de alertas de atraso por concepto</w:t>
      </w:r>
    </w:p>
    <w:p>
      <w:pPr>
        <w:spacing w:after="100"/>
      </w:pPr>
      <w:r>
        <w:rPr>
          <w:b/>
          <w:bCs/>
          <w:sz w:val="24"/>
          <w:szCs w:val="24"/>
          <w:rFonts w:ascii="Calibri" w:cs="Calibri" w:eastAsia="Calibri" w:hAnsi="Calibri"/>
        </w:rPr>
        <w:t xml:space="preserve">Implementación Técnica: </w:t>
      </w:r>
      <w:r>
        <w:rPr>
          <w:sz w:val="24"/>
          <w:szCs w:val="24"/>
          <w:rFonts w:ascii="Calibri" w:cs="Calibri" w:eastAsia="Calibri" w:hAnsi="Calibri"/>
        </w:rPr>
        <w:t xml:space="preserve">Configuración por el Residente de alertas personalizadas si el avance real de un concepto clave está por debajo de un porcentaje específico, enviando alertas por correo o sistema.</w:t>
      </w:r>
    </w:p>
    <w:p>
      <w:pPr>
        <w:pStyle w:val="Heading2"/>
        <w:spacing w:before="150" w:after="80"/>
      </w:pPr>
      <w:r>
        <w:t xml:space="preserve">• HU-08: Apertura formal de la bitácora del contrato</w:t>
      </w:r>
    </w:p>
    <w:p>
      <w:pPr>
        <w:spacing w:after="100"/>
      </w:pPr>
      <w:r>
        <w:rPr>
          <w:b/>
          <w:bCs/>
          <w:sz w:val="24"/>
          <w:szCs w:val="24"/>
          <w:rFonts w:ascii="Calibri" w:cs="Calibri" w:eastAsia="Calibri" w:hAnsi="Calibri"/>
        </w:rPr>
        <w:t xml:space="preserve">Implementación Técnica: </w:t>
      </w:r>
      <w:r>
        <w:rPr>
          <w:sz w:val="24"/>
          <w:szCs w:val="24"/>
          <w:rFonts w:ascii="Calibri" w:cs="Calibri" w:eastAsia="Calibri" w:hAnsi="Calibri"/>
        </w:rPr>
        <w:t xml:space="preserve">Acta de apertura electrónica vinculando las cuentas de los firmantes autorizados del contrato (residente, superintendente, supervisión). Genera la primera nota con datos obligatorios del Art. 122 RLOPSRM.</w:t>
      </w:r>
    </w:p>
    <w:p>
      <w:pPr>
        <w:pStyle w:val="Heading2"/>
        <w:spacing w:before="150" w:after="80"/>
      </w:pPr>
      <w:r>
        <w:t xml:space="preserve">• HU-09: Emisión y respuesta de notas tipificadas con firma</w:t>
      </w:r>
    </w:p>
    <w:p>
      <w:pPr>
        <w:spacing w:after="100"/>
      </w:pPr>
      <w:r>
        <w:rPr>
          <w:b/>
          <w:bCs/>
          <w:sz w:val="24"/>
          <w:szCs w:val="24"/>
          <w:rFonts w:ascii="Calibri" w:cs="Calibri" w:eastAsia="Calibri" w:hAnsi="Calibri"/>
        </w:rPr>
        <w:t xml:space="preserve">Implementación Técnica: </w:t>
      </w:r>
      <w:r>
        <w:rPr>
          <w:sz w:val="24"/>
          <w:szCs w:val="24"/>
          <w:rFonts w:ascii="Calibri" w:cs="Calibri" w:eastAsia="Calibri" w:hAnsi="Calibri"/>
        </w:rPr>
        <w:t xml:space="preserve">Emisión de notas con folio correlativo automático. El tipo de nota se restringe según el rol. Firma electrónica digital del autor. Las correcciones se hacen mediante vinculación (nota dice/debe decir) sin alterar la original.</w:t>
      </w:r>
    </w:p>
    <w:p>
      <w:pPr>
        <w:pStyle w:val="Heading2"/>
        <w:spacing w:before="150" w:after="80"/>
      </w:pPr>
      <w:r>
        <w:t xml:space="preserve">• HU-10: Consulta y búsqueda de notas de bitácora</w:t>
      </w:r>
    </w:p>
    <w:p>
      <w:pPr>
        <w:spacing w:after="100"/>
      </w:pPr>
      <w:r>
        <w:rPr>
          <w:b/>
          <w:bCs/>
          <w:sz w:val="24"/>
          <w:szCs w:val="24"/>
          <w:rFonts w:ascii="Calibri" w:cs="Calibri" w:eastAsia="Calibri" w:hAnsi="Calibri"/>
        </w:rPr>
        <w:t xml:space="preserve">Implementación Técnica: </w:t>
      </w:r>
      <w:r>
        <w:rPr>
          <w:sz w:val="24"/>
          <w:szCs w:val="24"/>
          <w:rFonts w:ascii="Calibri" w:cs="Calibri" w:eastAsia="Calibri" w:hAnsi="Calibri"/>
        </w:rPr>
        <w:t xml:space="preserve">Buscador de bitácora con filtros combinados (firmante, rango de fechas, tipo, texto). Permite exportar resultados seleccionados a Excel.</w:t>
      </w:r>
    </w:p>
    <w:p>
      <w:pPr>
        <w:pStyle w:val="Heading2"/>
        <w:spacing w:before="150" w:after="80"/>
      </w:pPr>
      <w:r>
        <w:t xml:space="preserve">• HU-11: Registro de minutas, visitas y acuerdos</w:t>
      </w:r>
    </w:p>
    <w:p>
      <w:pPr>
        <w:spacing w:after="100"/>
      </w:pPr>
      <w:r>
        <w:rPr>
          <w:b/>
          <w:bCs/>
          <w:sz w:val="24"/>
          <w:szCs w:val="24"/>
          <w:rFonts w:ascii="Calibri" w:cs="Calibri" w:eastAsia="Calibri" w:hAnsi="Calibri"/>
        </w:rPr>
        <w:t xml:space="preserve">Implementación Técnica: </w:t>
      </w:r>
      <w:r>
        <w:rPr>
          <w:sz w:val="24"/>
          <w:szCs w:val="24"/>
          <w:rFonts w:ascii="Calibri" w:cs="Calibri" w:eastAsia="Calibri" w:hAnsi="Calibri"/>
        </w:rPr>
        <w:t xml:space="preserve">Carga de minutas en PDF, agenda de inspecciones y visitas de obra, y control de acuerdos. Permite adjuntar minutas en notas de bitácora.</w:t>
      </w:r>
    </w:p>
    <w:p>
      <w:pPr>
        <w:pStyle w:val="Heading2"/>
        <w:spacing w:before="150" w:after="80"/>
      </w:pPr>
      <w:r>
        <w:t xml:space="preserve">• HU-12: Apertura del periodo e integración de la estimación</w:t>
      </w:r>
    </w:p>
    <w:p>
      <w:pPr>
        <w:spacing w:after="100"/>
      </w:pPr>
      <w:r>
        <w:rPr>
          <w:b/>
          <w:bCs/>
          <w:sz w:val="24"/>
          <w:szCs w:val="24"/>
          <w:rFonts w:ascii="Calibri" w:cs="Calibri" w:eastAsia="Calibri" w:hAnsi="Calibri"/>
        </w:rPr>
        <w:t xml:space="preserve">Implementación Técnica: </w:t>
      </w:r>
      <w:r>
        <w:rPr>
          <w:sz w:val="24"/>
          <w:szCs w:val="24"/>
          <w:rFonts w:ascii="Calibri" w:cs="Calibri" w:eastAsia="Calibri" w:hAnsi="Calibri"/>
        </w:rPr>
        <w:t xml:space="preserve">Integración de la estimación: carátula (amortización automática del anticipo, retención legal de 5 al millar y penalizaciones), números generadores, evidencias fotográficas, soportes y notas de bitácora del periodo.</w:t>
      </w:r>
    </w:p>
    <w:p>
      <w:pPr>
        <w:pStyle w:val="Heading2"/>
        <w:spacing w:before="150" w:after="80"/>
      </w:pPr>
      <w:r>
        <w:t xml:space="preserve">• HU-13: Envío de la estimación</w:t>
      </w:r>
    </w:p>
    <w:p>
      <w:pPr>
        <w:spacing w:after="100"/>
      </w:pPr>
      <w:r>
        <w:rPr>
          <w:b/>
          <w:bCs/>
          <w:sz w:val="24"/>
          <w:szCs w:val="24"/>
          <w:rFonts w:ascii="Calibri" w:cs="Calibri" w:eastAsia="Calibri" w:hAnsi="Calibri"/>
        </w:rPr>
        <w:t xml:space="preserve">Implementación Técnica: </w:t>
      </w:r>
      <w:r>
        <w:rPr>
          <w:sz w:val="24"/>
          <w:szCs w:val="24"/>
          <w:rFonts w:ascii="Calibri" w:cs="Calibri" w:eastAsia="Calibri" w:hAnsi="Calibri"/>
        </w:rPr>
        <w:t xml:space="preserve">Envío formal de la estimación. Registra fecha/hora exacta. El botón se bloquea si excede los 6 días naturales del periodo (Art. 54 LOPSRM). Inicia el contador de 15 días naturales de revisión.</w:t>
      </w:r>
    </w:p>
    <w:p>
      <w:pPr>
        <w:pStyle w:val="Heading2"/>
        <w:spacing w:before="150" w:after="80"/>
      </w:pPr>
      <w:r>
        <w:t xml:space="preserve">• HU-14: Historial de estimaciones del contrato</w:t>
      </w:r>
    </w:p>
    <w:p>
      <w:pPr>
        <w:spacing w:after="100"/>
      </w:pPr>
      <w:r>
        <w:rPr>
          <w:b/>
          <w:bCs/>
          <w:sz w:val="24"/>
          <w:szCs w:val="24"/>
          <w:rFonts w:ascii="Calibri" w:cs="Calibri" w:eastAsia="Calibri" w:hAnsi="Calibri"/>
        </w:rPr>
        <w:t xml:space="preserve">Implementación Técnica: </w:t>
      </w:r>
      <w:r>
        <w:rPr>
          <w:sz w:val="24"/>
          <w:szCs w:val="24"/>
          <w:rFonts w:ascii="Calibri" w:cs="Calibri" w:eastAsia="Calibri" w:hAnsi="Calibri"/>
        </w:rPr>
        <w:t xml:space="preserve">Historial cronológico de estimaciones (incluye rechazadas). Permite visualizar cada versión e inspeccionar los expedientes adjuntos.</w:t>
      </w:r>
    </w:p>
    <w:p>
      <w:pPr>
        <w:pStyle w:val="Heading2"/>
        <w:spacing w:before="150" w:after="80"/>
      </w:pPr>
      <w:r>
        <w:t xml:space="preserve">• HU-15: Recepción, revisión y autorización de la estimación</w:t>
      </w:r>
    </w:p>
    <w:p>
      <w:pPr>
        <w:spacing w:after="100"/>
      </w:pPr>
      <w:r>
        <w:rPr>
          <w:b/>
          <w:bCs/>
          <w:sz w:val="24"/>
          <w:szCs w:val="24"/>
          <w:rFonts w:ascii="Calibri" w:cs="Calibri" w:eastAsia="Calibri" w:hAnsi="Calibri"/>
        </w:rPr>
        <w:t xml:space="preserve">Implementación Técnica: </w:t>
      </w:r>
      <w:r>
        <w:rPr>
          <w:sz w:val="24"/>
          <w:szCs w:val="24"/>
          <w:rFonts w:ascii="Calibri" w:cs="Calibri" w:eastAsia="Calibri" w:hAnsi="Calibri"/>
        </w:rPr>
        <w:t xml:space="preserve">Flujo secuencial de aprobación: Supervisión revisa y anota observaciones con tipo/severidad, turna a Residente. Residente autoriza o rechaza. Semáforo de control del plazo de 15 días naturales.</w:t>
      </w:r>
    </w:p>
    <w:p>
      <w:pPr>
        <w:pStyle w:val="Heading2"/>
        <w:spacing w:before="150" w:after="80"/>
      </w:pPr>
      <w:r>
        <w:t xml:space="preserve">• HU-16: Reingreso de estimación tras rechazo</w:t>
      </w:r>
    </w:p>
    <w:p>
      <w:pPr>
        <w:spacing w:after="100"/>
      </w:pPr>
      <w:r>
        <w:rPr>
          <w:b/>
          <w:bCs/>
          <w:sz w:val="24"/>
          <w:szCs w:val="24"/>
          <w:rFonts w:ascii="Calibri" w:cs="Calibri" w:eastAsia="Calibri" w:hAnsi="Calibri"/>
        </w:rPr>
        <w:t xml:space="preserve">Implementación Técnica: </w:t>
      </w:r>
      <w:r>
        <w:rPr>
          <w:sz w:val="24"/>
          <w:szCs w:val="24"/>
          <w:rFonts w:ascii="Calibri" w:cs="Calibri" w:eastAsia="Calibri" w:hAnsi="Calibri"/>
        </w:rPr>
        <w:t xml:space="preserve">Carga de nueva versión de estimación rechazada vinculada a la anterior para mantener trazabilidad. Historial de observaciones disponible para exportación.</w:t>
      </w:r>
    </w:p>
    <w:p>
      <w:pPr>
        <w:pStyle w:val="Heading2"/>
        <w:spacing w:before="150" w:after="80"/>
      </w:pPr>
      <w:r>
        <w:t xml:space="preserve">• HU-17: Tablero de estimaciones aceptadas y en proceso</w:t>
      </w:r>
    </w:p>
    <w:p>
      <w:pPr>
        <w:spacing w:after="100"/>
      </w:pPr>
      <w:r>
        <w:rPr>
          <w:b/>
          <w:bCs/>
          <w:sz w:val="24"/>
          <w:szCs w:val="24"/>
          <w:rFonts w:ascii="Calibri" w:cs="Calibri" w:eastAsia="Calibri" w:hAnsi="Calibri"/>
        </w:rPr>
        <w:t xml:space="preserve">Implementación Técnica: </w:t>
      </w:r>
      <w:r>
        <w:rPr>
          <w:sz w:val="24"/>
          <w:szCs w:val="24"/>
          <w:rFonts w:ascii="Calibri" w:cs="Calibri" w:eastAsia="Calibri" w:hAnsi="Calibri"/>
        </w:rPr>
        <w:t xml:space="preserve">Bandeja Kanban o lista de estimaciones activas. Muestra el estado del ciclo (enviada, revisión, autorizada, en pago, pagada) con panel 'Mis pendientes' por rol.</w:t>
      </w:r>
    </w:p>
    <w:p>
      <w:pPr>
        <w:pStyle w:val="Heading2"/>
        <w:spacing w:before="150" w:after="80"/>
      </w:pPr>
      <w:r>
        <w:t xml:space="preserve">• HU-18: Vista ejecutiva del portafolio con semáforos</w:t>
      </w:r>
    </w:p>
    <w:p>
      <w:pPr>
        <w:spacing w:after="100"/>
      </w:pPr>
      <w:r>
        <w:rPr>
          <w:b/>
          <w:bCs/>
          <w:sz w:val="24"/>
          <w:szCs w:val="24"/>
          <w:rFonts w:ascii="Calibri" w:cs="Calibri" w:eastAsia="Calibri" w:hAnsi="Calibri"/>
        </w:rPr>
        <w:t xml:space="preserve">Implementación Técnica: </w:t>
      </w:r>
      <w:r>
        <w:rPr>
          <w:sz w:val="24"/>
          <w:szCs w:val="24"/>
          <w:rFonts w:ascii="Calibri" w:cs="Calibri" w:eastAsia="Calibri" w:hAnsi="Calibri"/>
        </w:rPr>
        <w:t xml:space="preserve">Dashboard para la Dependencia con semáforo tricolor (verde, amarillo, rojo) que indica la salud del contrato según avance, retrasos contractuales y penalizaciones. Doble clic abre detalle.</w:t>
      </w:r>
    </w:p>
    <w:p>
      <w:pPr>
        <w:pStyle w:val="Heading2"/>
        <w:spacing w:before="150" w:after="80"/>
      </w:pPr>
      <w:r>
        <w:t xml:space="preserve">• HU-19: Exportación de los 7 reportes definidos del contrato</w:t>
      </w:r>
    </w:p>
    <w:p>
      <w:pPr>
        <w:spacing w:after="100"/>
      </w:pPr>
      <w:r>
        <w:rPr>
          <w:b/>
          <w:bCs/>
          <w:sz w:val="24"/>
          <w:szCs w:val="24"/>
          <w:rFonts w:ascii="Calibri" w:cs="Calibri" w:eastAsia="Calibri" w:hAnsi="Calibri"/>
        </w:rPr>
        <w:t xml:space="preserve">Implementación Técnica: </w:t>
      </w:r>
      <w:r>
        <w:rPr>
          <w:sz w:val="24"/>
          <w:szCs w:val="24"/>
          <w:rFonts w:ascii="Calibri" w:cs="Calibri" w:eastAsia="Calibri" w:hAnsi="Calibri"/>
        </w:rPr>
        <w:t xml:space="preserve">Exportación a PDF/Excel de reportes de: avance físico, financiero, estimaciones, observaciones, bitácora, modificatorios y penalizaciones.</w:t>
      </w:r>
    </w:p>
    <w:p>
      <w:pPr>
        <w:pStyle w:val="Heading2"/>
        <w:spacing w:before="150" w:after="80"/>
      </w:pPr>
      <w:r>
        <w:t xml:space="preserve">• HU-20: Tránsito a pago y verificación presupuestal</w:t>
      </w:r>
    </w:p>
    <w:p>
      <w:pPr>
        <w:spacing w:after="100"/>
      </w:pPr>
      <w:r>
        <w:rPr>
          <w:b/>
          <w:bCs/>
          <w:sz w:val="24"/>
          <w:szCs w:val="24"/>
          <w:rFonts w:ascii="Calibri" w:cs="Calibri" w:eastAsia="Calibri" w:hAnsi="Calibri"/>
        </w:rPr>
        <w:t xml:space="preserve">Implementación Técnica: </w:t>
      </w:r>
      <w:r>
        <w:rPr>
          <w:sz w:val="24"/>
          <w:szCs w:val="24"/>
          <w:rFonts w:ascii="Calibri" w:cs="Calibri" w:eastAsia="Calibri" w:hAnsi="Calibri"/>
        </w:rPr>
        <w:t xml:space="preserve">Verificación de suficiencia presupuestal anual (Art. 24 LOPSRM), carga de CFDI, factura y fianza de cumplimiento. Inicia contador de 20 días de pago con semáforo de alerta.</w:t>
      </w:r>
    </w:p>
    <w:p>
      <w:pPr>
        <w:pStyle w:val="Heading2"/>
        <w:spacing w:before="150" w:after="80"/>
      </w:pPr>
      <w:r>
        <w:t xml:space="preserve">• HU-21: Registro del pago efectuado</w:t>
      </w:r>
    </w:p>
    <w:p>
      <w:pPr>
        <w:spacing w:after="100"/>
      </w:pPr>
      <w:r>
        <w:rPr>
          <w:b/>
          <w:bCs/>
          <w:sz w:val="24"/>
          <w:szCs w:val="24"/>
          <w:rFonts w:ascii="Calibri" w:cs="Calibri" w:eastAsia="Calibri" w:hAnsi="Calibri"/>
        </w:rPr>
        <w:t xml:space="preserve">Implementación Técnica: </w:t>
      </w:r>
      <w:r>
        <w:rPr>
          <w:sz w:val="24"/>
          <w:szCs w:val="24"/>
          <w:rFonts w:ascii="Calibri" w:cs="Calibri" w:eastAsia="Calibri" w:hAnsi="Calibri"/>
        </w:rPr>
        <w:t xml:space="preserve">Registro por Finanzas de la fecha, importe pagado, referencia de transferencia bancaria y observaciones, marcando la estimación como pagada.</w:t>
      </w:r>
    </w:p>
    <w:p>
      <w:pPr>
        <w:pStyle w:val="Heading2"/>
        <w:spacing w:before="150" w:after="80"/>
      </w:pPr>
      <w:r>
        <w:t xml:space="preserve">• Registro: Registro de usuario con aprobación</w:t>
      </w:r>
    </w:p>
    <w:p>
      <w:pPr>
        <w:spacing w:after="100"/>
      </w:pPr>
      <w:r>
        <w:rPr>
          <w:b/>
          <w:bCs/>
          <w:sz w:val="24"/>
          <w:szCs w:val="24"/>
          <w:rFonts w:ascii="Calibri" w:cs="Calibri" w:eastAsia="Calibri" w:hAnsi="Calibri"/>
        </w:rPr>
        <w:t xml:space="preserve">Implementación Técnica: </w:t>
      </w:r>
      <w:r>
        <w:rPr>
          <w:sz w:val="24"/>
          <w:szCs w:val="24"/>
          <w:rFonts w:ascii="Calibri" w:cs="Calibri" w:eastAsia="Calibri" w:hAnsi="Calibri"/>
        </w:rPr>
        <w:t xml:space="preserve">Los usuarios nuevos se registran solicitando un rol. Su cuenta queda inactiva. La Dependencia revisa las solicitudes, valida identidades, aprueba/rechaza y asigna el rol definitivo.</w:t>
      </w:r>
    </w:p>
    <w:p>
      <w:pPr>
        <w:pStyle w:val="Heading2"/>
        <w:spacing w:before="150" w:after="80"/>
      </w:pPr>
      <w:r>
        <w:t xml:space="preserve">• Por Firmar: Firma de aperturas de bitácora pendientes</w:t>
      </w:r>
    </w:p>
    <w:p>
      <w:pPr>
        <w:spacing w:after="100"/>
      </w:pPr>
      <w:r>
        <w:rPr>
          <w:b/>
          <w:bCs/>
          <w:sz w:val="24"/>
          <w:szCs w:val="24"/>
          <w:rFonts w:ascii="Calibri" w:cs="Calibri" w:eastAsia="Calibri" w:hAnsi="Calibri"/>
        </w:rPr>
        <w:t xml:space="preserve">Implementación Técnica: </w:t>
      </w:r>
      <w:r>
        <w:rPr>
          <w:sz w:val="24"/>
          <w:szCs w:val="24"/>
          <w:rFonts w:ascii="Calibri" w:cs="Calibri" w:eastAsia="Calibri" w:hAnsi="Calibri"/>
        </w:rPr>
        <w:t xml:space="preserve">Bandeja que agrupa las actas de apertura de bitácora pendientes de firmar por el usuario. Al firmar todos los autorizados, la bitácora queda habilitada para notas de obra.</w:t>
      </w:r>
    </w:p>
    <w:p>
      <w:pPr>
        <w:pStyle w:val="Heading1"/>
        <w:pageBreakBefore/>
        <w:spacing w:before="200" w:after="150"/>
      </w:pPr>
      <w:r>
        <w:t xml:space="preserve">5. Plan de Sprints e Iteraciones</w:t>
      </w:r>
    </w:p>
    <w:p>
      <w:pPr>
        <w:spacing w:after="120"/>
      </w:pPr>
      <w:r>
        <w:rPr>
          <w:sz w:val="24"/>
          <w:szCs w:val="24"/>
          <w:rFonts w:ascii="Calibri" w:cs="Calibri" w:eastAsia="Calibri" w:hAnsi="Calibri"/>
        </w:rPr>
        <w:t xml:space="preserve">El desarrollo se ha planificado en 9 sprints con una velocidad objetivo de 9 puntos por sprint (mitigando riesgos al colocar los entregables más complejos en los sprints iniciales e intermedios):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r>
              <w:rPr>
                <w:b/>
                <w:bCs/>
                <w:sz w:val="20"/>
                <w:szCs w:val="20"/>
              </w:rPr>
              <w:t xml:space="preserve">Sprint</w:t>
            </w:r>
          </w:p>
        </w:tc>
        <w:tc>
          <w:p>
            <w:r>
              <w:rPr>
                <w:b/>
                <w:bCs/>
                <w:sz w:val="20"/>
                <w:szCs w:val="20"/>
              </w:rPr>
              <w:t xml:space="preserve">Historias / Temas</w:t>
            </w:r>
          </w:p>
        </w:tc>
        <w:tc>
          <w:p>
            <w:r>
              <w:rPr>
                <w:b/>
                <w:bCs/>
                <w:sz w:val="20"/>
                <w:szCs w:val="20"/>
              </w:rPr>
              <w:t xml:space="preserve">Puntos</w:t>
            </w:r>
          </w:p>
        </w:tc>
        <w:tc>
          <w:p>
            <w:r>
              <w:rPr>
                <w:b/>
                <w:bCs/>
                <w:sz w:val="20"/>
                <w:szCs w:val="20"/>
              </w:rPr>
              <w:t xml:space="preserve">Objetivo Demostrable</w:t>
            </w:r>
          </w:p>
        </w:tc>
      </w:tr>
      <w:tr>
        <w:tc>
          <w:p>
            <w:r>
              <w:rPr>
                <w:sz w:val="20"/>
                <w:szCs w:val="20"/>
              </w:rPr>
              <w:t xml:space="preserve">Sprint 1</w:t>
            </w:r>
          </w:p>
        </w:tc>
        <w:tc>
          <w:p>
            <w:r>
              <w:rPr>
                <w:sz w:val="20"/>
                <w:szCs w:val="20"/>
              </w:rPr>
              <w:t xml:space="preserve">HU-00 (Inicio sesión), HU-01 (Alta contratos), HU-08 (Apertura bitácora), Por Firmar (Firma aperturas). Cimientos del sistema.</w:t>
            </w:r>
          </w:p>
        </w:tc>
        <w:tc>
          <w:p>
            <w:r>
              <w:rPr>
                <w:sz w:val="20"/>
                <w:szCs w:val="20"/>
              </w:rPr>
              <w:t xml:space="preserve">10</w:t>
            </w:r>
          </w:p>
        </w:tc>
        <w:tc>
          <w:p>
            <w:r>
              <w:rPr>
                <w:sz w:val="20"/>
                <w:szCs w:val="20"/>
              </w:rPr>
              <w:t xml:space="preserve">Login por rol, alta de contrato y apertura de bitácora pendiente de firmas.</w:t>
            </w:r>
          </w:p>
        </w:tc>
      </w:tr>
      <w:tr>
        <w:tc>
          <w:p>
            <w:r>
              <w:rPr>
                <w:sz w:val="20"/>
                <w:szCs w:val="20"/>
              </w:rPr>
              <w:t xml:space="preserve">Sprint 2</w:t>
            </w:r>
          </w:p>
        </w:tc>
        <w:tc>
          <w:p>
            <w:r>
              <w:rPr>
                <w:sz w:val="20"/>
                <w:szCs w:val="20"/>
              </w:rPr>
              <w:t xml:space="preserve">HU-09 (Emisión/respuesta notas con firma), HU-21 (Registro de pago). Bitácora viva y ciclo de pago.</w:t>
            </w:r>
          </w:p>
        </w:tc>
        <w:tc>
          <w:p>
            <w:r>
              <w:rPr>
                <w:sz w:val="20"/>
                <w:szCs w:val="20"/>
              </w:rPr>
              <w:t xml:space="preserve">10</w:t>
            </w:r>
          </w:p>
        </w:tc>
        <w:tc>
          <w:p>
            <w:r>
              <w:rPr>
                <w:sz w:val="20"/>
                <w:szCs w:val="20"/>
              </w:rPr>
              <w:t xml:space="preserve">Cualquier rol autorizado emite notas tipificadas; Finanzas registra un pago efectuado.</w:t>
            </w:r>
          </w:p>
        </w:tc>
      </w:tr>
      <w:tr>
        <w:tc>
          <w:p>
            <w:r>
              <w:rPr>
                <w:sz w:val="20"/>
                <w:szCs w:val="20"/>
              </w:rPr>
              <w:t xml:space="preserve">Sprint 3</w:t>
            </w:r>
          </w:p>
        </w:tc>
        <w:tc>
          <w:p>
            <w:r>
              <w:rPr>
                <w:sz w:val="20"/>
                <w:szCs w:val="20"/>
              </w:rPr>
              <w:t xml:space="preserve">HU-10 (Búsqueda notas), HU-12 (Integración estimación). Integración inicial.</w:t>
            </w:r>
          </w:p>
        </w:tc>
        <w:tc>
          <w:p>
            <w:r>
              <w:rPr>
                <w:sz w:val="20"/>
                <w:szCs w:val="20"/>
              </w:rPr>
              <w:t xml:space="preserve">10</w:t>
            </w:r>
          </w:p>
        </w:tc>
        <w:tc>
          <w:p>
            <w:r>
              <w:rPr>
                <w:sz w:val="20"/>
                <w:szCs w:val="20"/>
              </w:rPr>
              <w:t xml:space="preserve">Búsqueda de notas con filtros; Contratista integra una estimación completa en el periodo.</w:t>
            </w:r>
          </w:p>
        </w:tc>
      </w:tr>
      <w:tr>
        <w:tc>
          <w:p>
            <w:r>
              <w:rPr>
                <w:sz w:val="20"/>
                <w:szCs w:val="20"/>
              </w:rPr>
              <w:t xml:space="preserve">Sprint 4</w:t>
            </w:r>
          </w:p>
        </w:tc>
        <w:tc>
          <w:p>
            <w:r>
              <w:rPr>
                <w:sz w:val="20"/>
                <w:szCs w:val="20"/>
              </w:rPr>
              <w:t xml:space="preserve">HU-04 (Consulta expediente contractual), HU-15 (Revisión/autorización estimación). Aprobaciones.</w:t>
            </w:r>
          </w:p>
        </w:tc>
        <w:tc>
          <w:p>
            <w:r>
              <w:rPr>
                <w:sz w:val="20"/>
                <w:szCs w:val="20"/>
              </w:rPr>
              <w:t xml:space="preserve">10</w:t>
            </w:r>
          </w:p>
        </w:tc>
        <w:tc>
          <w:p>
            <w:r>
              <w:rPr>
                <w:sz w:val="20"/>
                <w:szCs w:val="20"/>
              </w:rPr>
              <w:t xml:space="preserve">Supervisión revisa estimación secuencialmente; residencia aprueba/rechaza; expediente consultable.</w:t>
            </w:r>
          </w:p>
        </w:tc>
      </w:tr>
      <w:tr>
        <w:tc>
          <w:p>
            <w:r>
              <w:rPr>
                <w:sz w:val="20"/>
                <w:szCs w:val="20"/>
              </w:rPr>
              <w:t xml:space="preserve">Sprint 5</w:t>
            </w:r>
          </w:p>
        </w:tc>
        <w:tc>
          <w:p>
            <w:r>
              <w:rPr>
                <w:sz w:val="20"/>
                <w:szCs w:val="20"/>
              </w:rPr>
              <w:t xml:space="preserve">HU-14 (Historial estimaciones), HU-20 (Tránsito a pago y verificación presupuestal). Tránsito financiero.</w:t>
            </w:r>
          </w:p>
        </w:tc>
        <w:tc>
          <w:p>
            <w:r>
              <w:rPr>
                <w:sz w:val="20"/>
                <w:szCs w:val="20"/>
              </w:rPr>
              <w:t xml:space="preserve">10</w:t>
            </w:r>
          </w:p>
        </w:tc>
        <w:tc>
          <w:p>
            <w:r>
              <w:rPr>
                <w:sz w:val="20"/>
                <w:szCs w:val="20"/>
              </w:rPr>
              <w:t xml:space="preserve">Estimación autorizada genera instrucción de pago con validación de presupuesto anual.</w:t>
            </w:r>
          </w:p>
        </w:tc>
      </w:tr>
      <w:tr>
        <w:tc>
          <w:p>
            <w:r>
              <w:rPr>
                <w:sz w:val="20"/>
                <w:szCs w:val="20"/>
              </w:rPr>
              <w:t xml:space="preserve">Sprint 6</w:t>
            </w:r>
          </w:p>
        </w:tc>
        <w:tc>
          <w:p>
            <w:r>
              <w:rPr>
                <w:sz w:val="20"/>
                <w:szCs w:val="20"/>
              </w:rPr>
              <w:t xml:space="preserve">HU-02 (Registro fianzas), HU-03 (Convenios modificatorios), HU-07 (Alertas de atraso). Modificaciones.</w:t>
            </w:r>
          </w:p>
        </w:tc>
        <w:tc>
          <w:p>
            <w:r>
              <w:rPr>
                <w:sz w:val="20"/>
                <w:szCs w:val="20"/>
              </w:rPr>
              <w:t xml:space="preserve">9</w:t>
            </w:r>
          </w:p>
        </w:tc>
        <w:tc>
          <w:p>
            <w:r>
              <w:rPr>
                <w:sz w:val="20"/>
                <w:szCs w:val="20"/>
              </w:rPr>
              <w:t xml:space="preserve">Dependencia registra fianzas, aplica modificatorios (monto/plazo/conceptos) y residente configura alertas.</w:t>
            </w:r>
          </w:p>
        </w:tc>
      </w:tr>
      <w:tr>
        <w:tc>
          <w:p>
            <w:r>
              <w:rPr>
                <w:sz w:val="20"/>
                <w:szCs w:val="20"/>
              </w:rPr>
              <w:t xml:space="preserve">Sprint 7</w:t>
            </w:r>
          </w:p>
        </w:tc>
        <w:tc>
          <w:p>
            <w:r>
              <w:rPr>
                <w:sz w:val="20"/>
                <w:szCs w:val="20"/>
              </w:rPr>
              <w:t xml:space="preserve">HU-05 (Visualización programa/curva S), HU-06 (Registro trabajos periodos), HU-11 (Registro minutas/visitas). Avances.</w:t>
            </w:r>
          </w:p>
        </w:tc>
        <w:tc>
          <w:p>
            <w:r>
              <w:rPr>
                <w:sz w:val="20"/>
                <w:szCs w:val="20"/>
              </w:rPr>
              <w:t xml:space="preserve">9</w:t>
            </w:r>
          </w:p>
        </w:tc>
        <w:tc>
          <w:p>
            <w:r>
              <w:rPr>
                <w:sz w:val="20"/>
                <w:szCs w:val="20"/>
              </w:rPr>
              <w:t xml:space="preserve">Contratista registra avances físicos ligados a bitácora; visualización de curva programada vs ejecutada.</w:t>
            </w:r>
          </w:p>
        </w:tc>
      </w:tr>
      <w:tr>
        <w:tc>
          <w:p>
            <w:r>
              <w:rPr>
                <w:sz w:val="20"/>
                <w:szCs w:val="20"/>
              </w:rPr>
              <w:t xml:space="preserve">Sprint 8</w:t>
            </w:r>
          </w:p>
        </w:tc>
        <w:tc>
          <w:p>
            <w:r>
              <w:rPr>
                <w:sz w:val="20"/>
                <w:szCs w:val="20"/>
              </w:rPr>
              <w:t xml:space="preserve">HU-13 (Envío estimación), HU-16 (Reingreso estimación), HU-17 (Tablero estimaciones). Control de ciclo.</w:t>
            </w:r>
          </w:p>
        </w:tc>
        <w:tc>
          <w:p>
            <w:r>
              <w:rPr>
                <w:sz w:val="20"/>
                <w:szCs w:val="20"/>
              </w:rPr>
              <w:t xml:space="preserve">9</w:t>
            </w:r>
          </w:p>
        </w:tc>
        <w:tc>
          <w:p>
            <w:r>
              <w:rPr>
                <w:sz w:val="20"/>
                <w:szCs w:val="20"/>
              </w:rPr>
              <w:t xml:space="preserve">Contratista envía estimación dentro de 6 días naturales y reingresa estimaciones rechazadas.</w:t>
            </w:r>
          </w:p>
        </w:tc>
      </w:tr>
      <w:tr>
        <w:tc>
          <w:p>
            <w:r>
              <w:rPr>
                <w:sz w:val="20"/>
                <w:szCs w:val="20"/>
              </w:rPr>
              <w:t xml:space="preserve">Sprint 9</w:t>
            </w:r>
          </w:p>
        </w:tc>
        <w:tc>
          <w:p>
            <w:r>
              <w:rPr>
                <w:sz w:val="20"/>
                <w:szCs w:val="20"/>
              </w:rPr>
              <w:t xml:space="preserve">HU-18 (Vista ejecutiva portafolio), HU-19 (Exportación 7 reportes). Cierre y Reportes.</w:t>
            </w:r>
          </w:p>
        </w:tc>
        <w:tc>
          <w:p>
            <w:r>
              <w:rPr>
                <w:sz w:val="20"/>
                <w:szCs w:val="20"/>
              </w:rPr>
              <w:t xml:space="preserve">10</w:t>
            </w:r>
          </w:p>
        </w:tc>
        <w:tc>
          <w:p>
            <w:r>
              <w:rPr>
                <w:sz w:val="20"/>
                <w:szCs w:val="20"/>
              </w:rPr>
              <w:t xml:space="preserve">Portafolio con semáforos ejecutivos tricolor y exportación de reportes predefinidos a PDF/Excel.</w:t>
            </w:r>
          </w:p>
        </w:tc>
      </w:tr>
    </w:tbl>
    <w:p>
      <w:pPr>
        <w:pStyle w:val="Heading1"/>
        <w:pageBreakBefore/>
        <w:spacing w:before="200" w:after="150"/>
      </w:pPr>
      <w:r>
        <w:t xml:space="preserve">6. Estrategia de Pruebas y Validación</w:t>
      </w:r>
    </w:p>
    <w:p>
      <w:pPr>
        <w:spacing w:after="120"/>
      </w:pPr>
      <w:r>
        <w:rPr>
          <w:sz w:val="24"/>
          <w:szCs w:val="24"/>
          <w:rFonts w:ascii="Calibri" w:cs="Calibri" w:eastAsia="Calibri" w:hAnsi="Calibri"/>
        </w:rPr>
        <w:t xml:space="preserve">La validación del sistema SIGECOP se basará en dos pilares:</w:t>
      </w:r>
    </w:p>
    <w:p>
      <w:pPr>
        <w:spacing w:after="80"/>
      </w:pPr>
      <w:r>
        <w:rPr>
          <w:b/>
          <w:bCs/>
          <w:sz w:val="24"/>
          <w:szCs w:val="24"/>
          <w:rFonts w:ascii="Calibri" w:cs="Calibri" w:eastAsia="Calibri" w:hAnsi="Calibri"/>
        </w:rPr>
        <w:t xml:space="preserve">1. Pruebas de Roles con Cuentas de Prueba: </w:t>
      </w:r>
      <w:r>
        <w:rPr>
          <w:sz w:val="24"/>
          <w:szCs w:val="24"/>
          <w:rFonts w:ascii="Calibri" w:cs="Calibri" w:eastAsia="Calibri" w:hAnsi="Calibri"/>
        </w:rPr>
        <w:t xml:space="preserve">Se utilizarán las cuentas preestablecidas de la guía (residente@sigecop.test, contratista@sigecop.test, supervision@sigecop.test, dependencia@sigecop.test, finanzas en correo@dominio.com) para verificar que la navegación y los permisos estén perfectamente restringidos según el rol del usuario autenticado, evitando tokens nulos (errores 401) mediante inicios de sesión reales con contraseñas.</w:t>
      </w:r>
    </w:p>
    <w:p>
      <w:pPr>
        <w:spacing w:after="80"/>
      </w:pPr>
      <w:r>
        <w:rPr>
          <w:b/>
          <w:bCs/>
          <w:sz w:val="24"/>
          <w:szCs w:val="24"/>
          <w:rFonts w:ascii="Calibri" w:cs="Calibri" w:eastAsia="Calibri" w:hAnsi="Calibri"/>
        </w:rPr>
        <w:t xml:space="preserve">2. Pruebas de Integración y Validaciones de Cantidad: </w:t>
      </w:r>
      <w:r>
        <w:rPr>
          <w:sz w:val="24"/>
          <w:szCs w:val="24"/>
          <w:rFonts w:ascii="Calibri" w:cs="Calibri" w:eastAsia="Calibri" w:hAnsi="Calibri"/>
        </w:rPr>
        <w:t xml:space="preserve">Se validarán los límites del catálogo de conceptos y las sumatorias en vivo en el registro de avances (HU-06) y la integración de estimaciones (HU-12), garantizando que ningún concepto sea sobreecutado en cumplimiento estricto del Art. 118 del RLOPSRM.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SIGECOP - Reporte Técnico</dc:title>
  <dc:creator>Antigravity AI</dc:creator>
  <dc:description>Reporte técnico detallado del Sistema de Gestión Técnico-Administrativa de Contratos de Obra Pública (SIGECOP)</dc:description>
  <cp:lastModifiedBy>Un-named</cp:lastModifiedBy>
  <cp:revision>1</cp:revision>
  <dcterms:created xsi:type="dcterms:W3CDTF">2026-07-08T18:56:35.340Z</dcterms:created>
  <dcterms:modified xsi:type="dcterms:W3CDTF">2026-07-08T18:56:35.340Z</dcterms:modified>
</cp:coreProperties>
</file>

<file path=docProps/custom.xml><?xml version="1.0" encoding="utf-8"?>
<Properties xmlns="http://schemas.openxmlformats.org/officeDocument/2006/custom-properties" xmlns:vt="http://schemas.openxmlformats.org/officeDocument/2006/docPropsVTypes"/>
</file>