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B5B0A">
      <w:pPr>
        <w:pStyle w:val="5"/>
        <w:ind w:left="0" w:firstLine="0" w:firstLineChars="0"/>
        <w:jc w:val="left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bookmarkStart w:id="0" w:name="_Hlk161396099"/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符合包装说明第Ⅱ部分锂电池货物收运检查单</w:t>
      </w:r>
    </w:p>
    <w:p w14:paraId="5B8ACA38">
      <w:pPr>
        <w:pStyle w:val="5"/>
        <w:ind w:left="357" w:firstLine="0" w:firstLineChars="0"/>
        <w:jc w:val="center"/>
        <w:rPr>
          <w:rFonts w:hint="eastAsia" w:ascii="方正小标宋简体" w:hAnsi="方正小标宋简体" w:eastAsia="方正小标宋简体" w:cs="方正小标宋简体"/>
          <w:color w:val="000000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（适用于托运人交运货物）</w:t>
      </w:r>
    </w:p>
    <w:p w14:paraId="564C70E8">
      <w:pPr>
        <w:pStyle w:val="5"/>
        <w:ind w:left="0" w:firstLine="0" w:firstLineChars="0"/>
        <w:rPr>
          <w:rFonts w:hint="eastAsia" w:ascii="方正黑体_GBK" w:hAnsi="方正黑体_GBK" w:eastAsia="方正黑体_GBK" w:cs="方正黑体_GBK"/>
          <w:sz w:val="28"/>
          <w:szCs w:val="22"/>
        </w:rPr>
      </w:pPr>
      <w:r>
        <w:rPr>
          <w:rFonts w:hint="eastAsia" w:ascii="方正黑体_GBK" w:hAnsi="方正黑体_GBK" w:eastAsia="方正黑体_GBK" w:cs="方正黑体_GBK"/>
          <w:sz w:val="28"/>
          <w:szCs w:val="22"/>
        </w:rPr>
        <w:t>货运单号码：_______________</w:t>
      </w:r>
      <w:r>
        <w:rPr>
          <w:rFonts w:ascii="方正黑体_GBK" w:hAnsi="方正黑体_GBK" w:eastAsia="方正黑体_GBK" w:cs="方正黑体_GBK"/>
          <w:sz w:val="28"/>
          <w:szCs w:val="22"/>
        </w:rPr>
        <w:t xml:space="preserve"> </w:t>
      </w:r>
      <w:r>
        <w:rPr>
          <w:rFonts w:hint="eastAsia" w:ascii="方正黑体_GBK" w:hAnsi="方正黑体_GBK" w:eastAsia="方正黑体_GBK" w:cs="方正黑体_GBK"/>
          <w:sz w:val="28"/>
          <w:szCs w:val="22"/>
        </w:rPr>
        <w:t>收运单位：__________________</w:t>
      </w:r>
    </w:p>
    <w:tbl>
      <w:tblPr>
        <w:tblStyle w:val="3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0"/>
        <w:gridCol w:w="667"/>
        <w:gridCol w:w="517"/>
        <w:gridCol w:w="1114"/>
      </w:tblGrid>
      <w:tr w14:paraId="75A8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50" w:type="dxa"/>
            <w:shd w:val="clear" w:color="auto" w:fill="BEBEBE"/>
            <w:noWrap w:val="0"/>
            <w:vAlign w:val="center"/>
          </w:tcPr>
          <w:p w14:paraId="18748F07">
            <w:pPr>
              <w:pStyle w:val="5"/>
              <w:ind w:left="0" w:firstLine="0" w:firstLineChars="0"/>
              <w:jc w:val="left"/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  <w:t>检查内容</w:t>
            </w:r>
          </w:p>
        </w:tc>
        <w:tc>
          <w:tcPr>
            <w:tcW w:w="667" w:type="dxa"/>
            <w:shd w:val="clear" w:color="auto" w:fill="BEBEBE"/>
            <w:noWrap w:val="0"/>
            <w:vAlign w:val="center"/>
          </w:tcPr>
          <w:p w14:paraId="5667A822">
            <w:pPr>
              <w:pStyle w:val="5"/>
              <w:ind w:left="0" w:firstLine="0" w:firstLineChars="0"/>
              <w:jc w:val="center"/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  <w:t>是</w:t>
            </w:r>
          </w:p>
        </w:tc>
        <w:tc>
          <w:tcPr>
            <w:tcW w:w="517" w:type="dxa"/>
            <w:shd w:val="clear" w:color="auto" w:fill="BEBEBE"/>
            <w:noWrap w:val="0"/>
            <w:vAlign w:val="center"/>
          </w:tcPr>
          <w:p w14:paraId="46E98309">
            <w:pPr>
              <w:pStyle w:val="5"/>
              <w:ind w:left="0" w:firstLine="0" w:firstLineChars="0"/>
              <w:jc w:val="center"/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  <w:t>否</w:t>
            </w:r>
          </w:p>
        </w:tc>
        <w:tc>
          <w:tcPr>
            <w:tcW w:w="1114" w:type="dxa"/>
            <w:shd w:val="clear" w:color="auto" w:fill="BEBEBE"/>
            <w:noWrap w:val="0"/>
            <w:vAlign w:val="center"/>
          </w:tcPr>
          <w:p w14:paraId="69F58705">
            <w:pPr>
              <w:pStyle w:val="5"/>
              <w:ind w:left="0" w:firstLine="0" w:firstLineChars="0"/>
              <w:jc w:val="center"/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1"/>
                <w:szCs w:val="21"/>
              </w:rPr>
              <w:t>不适用</w:t>
            </w:r>
          </w:p>
        </w:tc>
      </w:tr>
      <w:tr w14:paraId="347C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750" w:type="dxa"/>
            <w:noWrap w:val="0"/>
            <w:vAlign w:val="center"/>
          </w:tcPr>
          <w:p w14:paraId="37B234F0">
            <w:pPr>
              <w:spacing w:line="360" w:lineRule="exact"/>
              <w:ind w:left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1.托运人提供了《符合包装说明第Ⅱ部分锂电池货物运输声明（托运人）》，且内容完整准确。</w:t>
            </w:r>
          </w:p>
        </w:tc>
        <w:tc>
          <w:tcPr>
            <w:tcW w:w="667" w:type="dxa"/>
            <w:noWrap w:val="0"/>
            <w:vAlign w:val="top"/>
          </w:tcPr>
          <w:p w14:paraId="3AB04A3A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top"/>
          </w:tcPr>
          <w:p w14:paraId="048EE977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top"/>
          </w:tcPr>
          <w:p w14:paraId="5D22DBA7">
            <w:pPr>
              <w:ind w:left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</w:tbl>
    <w:tbl>
      <w:tblPr>
        <w:tblStyle w:val="2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0"/>
        <w:gridCol w:w="667"/>
        <w:gridCol w:w="517"/>
        <w:gridCol w:w="1114"/>
      </w:tblGrid>
      <w:tr w14:paraId="6C2D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750" w:type="dxa"/>
            <w:noWrap w:val="0"/>
            <w:vAlign w:val="center"/>
          </w:tcPr>
          <w:p w14:paraId="581AE3D3">
            <w:pPr>
              <w:spacing w:line="360" w:lineRule="exact"/>
              <w:ind w:left="0"/>
              <w:rPr>
                <w:rFonts w:hint="default" w:ascii="方正仿宋_GBK" w:hAnsi="方正仿宋_GBK" w:eastAsia="方正仿宋_GBK" w:cs="方正仿宋_GBK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sz w:val="21"/>
                <w:szCs w:val="21"/>
                <w:lang w:val="en-US" w:eastAsia="zh-CN"/>
              </w:rPr>
              <w:t>2.额定能量超过2.7Wh但不超过100Wh的符合包装说明966第II部分的锂电池货物，荷电状态（SoC）不超过30%。</w:t>
            </w:r>
          </w:p>
        </w:tc>
        <w:tc>
          <w:tcPr>
            <w:tcW w:w="667" w:type="dxa"/>
            <w:noWrap w:val="0"/>
            <w:vAlign w:val="top"/>
          </w:tcPr>
          <w:p w14:paraId="0D86C6DA">
            <w:pPr>
              <w:ind w:left="0" w:leftChars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top"/>
          </w:tcPr>
          <w:p w14:paraId="4E5E6442">
            <w:pPr>
              <w:ind w:left="0" w:leftChars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top"/>
          </w:tcPr>
          <w:p w14:paraId="055540AA">
            <w:pPr>
              <w:ind w:left="0" w:leftChars="0"/>
              <w:jc w:val="center"/>
              <w:rPr>
                <w:rFonts w:ascii="方正仿宋_GBK" w:hAnsi="方正仿宋_GBK" w:eastAsia="方正仿宋_GBK" w:cs="方正仿宋_GBK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color w:val="FF0000"/>
                <w:kern w:val="0"/>
                <w:sz w:val="21"/>
                <w:szCs w:val="21"/>
              </w:rPr>
              <w:t>□</w:t>
            </w:r>
          </w:p>
        </w:tc>
      </w:tr>
    </w:tbl>
    <w:tbl>
      <w:tblPr>
        <w:tblStyle w:val="3"/>
        <w:tblW w:w="9048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8"/>
        <w:gridCol w:w="2042"/>
        <w:gridCol w:w="667"/>
        <w:gridCol w:w="517"/>
        <w:gridCol w:w="1114"/>
      </w:tblGrid>
      <w:tr w14:paraId="35B5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750" w:type="dxa"/>
            <w:gridSpan w:val="2"/>
            <w:noWrap w:val="0"/>
            <w:vAlign w:val="center"/>
          </w:tcPr>
          <w:p w14:paraId="5761D2DD">
            <w:pPr>
              <w:spacing w:line="360" w:lineRule="exact"/>
              <w:ind w:left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3</w:t>
            </w:r>
            <w:r>
              <w:rPr>
                <w:rFonts w:ascii="方正仿宋_GBK" w:hAnsi="方正仿宋_GBK" w:eastAsia="方正仿宋_GBK" w:cs="方正仿宋_GBK"/>
                <w:sz w:val="21"/>
                <w:szCs w:val="21"/>
              </w:rPr>
              <w:t>.</w:t>
            </w:r>
            <w:r>
              <w:rPr>
                <w:rFonts w:hint="eastAsia" w:ascii="方正仿宋_GBK" w:hAnsi="方正仿宋_GBK" w:eastAsia="方正仿宋_GBK" w:cs="方正仿宋_GBK"/>
                <w:sz w:val="22"/>
                <w:szCs w:val="22"/>
                <w:lang w:bidi="ar"/>
              </w:rPr>
              <w:t xml:space="preserve"> 交由南航运输的锂电池货物已完成锂电池型号备案或现场查验文件。</w:t>
            </w:r>
          </w:p>
        </w:tc>
        <w:tc>
          <w:tcPr>
            <w:tcW w:w="667" w:type="dxa"/>
            <w:noWrap w:val="0"/>
            <w:vAlign w:val="top"/>
          </w:tcPr>
          <w:p w14:paraId="2CB09D2A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top"/>
          </w:tcPr>
          <w:p w14:paraId="5A58A674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top"/>
          </w:tcPr>
          <w:p w14:paraId="48B5B5D7">
            <w:pPr>
              <w:ind w:left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  <w:tr w14:paraId="04E1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0" w:type="dxa"/>
            <w:gridSpan w:val="2"/>
            <w:noWrap w:val="0"/>
            <w:vAlign w:val="center"/>
          </w:tcPr>
          <w:p w14:paraId="2C6CA66F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.符合相应包装说明第Ⅱ部分的锂电池货物，必须在货运单上的“货物品名（description</w:t>
            </w:r>
            <w:r>
              <w:rPr>
                <w:rFonts w:ascii="方正仿宋_GBK" w:hAnsi="方正仿宋_GBK" w:eastAsia="方正仿宋_GBK" w:cs="方正仿宋_GBK"/>
                <w:sz w:val="21"/>
                <w:szCs w:val="21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of goods）”栏注明“锂XX电池，符合PIXXX第Ⅱ部分”。（根据DGR规定不做电池标记的，货运单上不应注明。但包装件上做电池标记的，货运单上必须注明。）</w:t>
            </w:r>
          </w:p>
        </w:tc>
        <w:tc>
          <w:tcPr>
            <w:tcW w:w="667" w:type="dxa"/>
            <w:noWrap w:val="0"/>
            <w:vAlign w:val="top"/>
          </w:tcPr>
          <w:p w14:paraId="7BFB5596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top"/>
          </w:tcPr>
          <w:p w14:paraId="06B4B0B4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top"/>
          </w:tcPr>
          <w:p w14:paraId="638ABEC5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</w:tr>
      <w:tr w14:paraId="3EDC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6750" w:type="dxa"/>
            <w:gridSpan w:val="2"/>
            <w:noWrap w:val="0"/>
            <w:vAlign w:val="center"/>
          </w:tcPr>
          <w:p w14:paraId="3590297E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.包装件的外包装坚固，以避免损坏，且在良好的待运状态。</w:t>
            </w:r>
          </w:p>
        </w:tc>
        <w:tc>
          <w:tcPr>
            <w:tcW w:w="667" w:type="dxa"/>
            <w:noWrap w:val="0"/>
            <w:vAlign w:val="center"/>
          </w:tcPr>
          <w:p w14:paraId="25AFEB4C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70AB93F4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7A8D47FD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color w:val="FF0000"/>
                <w:sz w:val="21"/>
                <w:szCs w:val="21"/>
              </w:rPr>
            </w:pPr>
          </w:p>
        </w:tc>
      </w:tr>
      <w:tr w14:paraId="088A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6750" w:type="dxa"/>
            <w:gridSpan w:val="2"/>
            <w:noWrap w:val="0"/>
            <w:vAlign w:val="center"/>
          </w:tcPr>
          <w:p w14:paraId="72E2CA60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.正确做电池标记。</w:t>
            </w:r>
          </w:p>
        </w:tc>
        <w:tc>
          <w:tcPr>
            <w:tcW w:w="667" w:type="dxa"/>
            <w:noWrap w:val="0"/>
            <w:vAlign w:val="center"/>
          </w:tcPr>
          <w:p w14:paraId="2E8DC3B2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7D1DA0E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3B4EE3AD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</w:tr>
      <w:tr w14:paraId="7DB3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0" w:type="dxa"/>
            <w:gridSpan w:val="2"/>
            <w:noWrap w:val="0"/>
            <w:vAlign w:val="center"/>
          </w:tcPr>
          <w:p w14:paraId="153EA1CA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.清除或涂去无关的标记标签。</w:t>
            </w:r>
          </w:p>
        </w:tc>
        <w:tc>
          <w:tcPr>
            <w:tcW w:w="667" w:type="dxa"/>
            <w:noWrap w:val="0"/>
            <w:vAlign w:val="center"/>
          </w:tcPr>
          <w:p w14:paraId="61D59A64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79AC4B77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60453858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  <w:tr w14:paraId="1B9C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0" w:type="dxa"/>
            <w:gridSpan w:val="2"/>
            <w:noWrap w:val="0"/>
            <w:vAlign w:val="center"/>
          </w:tcPr>
          <w:p w14:paraId="4C1F4C98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.包装使用的标记标签必须清晰可见，或者在集合包装外重现。</w:t>
            </w:r>
          </w:p>
        </w:tc>
        <w:tc>
          <w:tcPr>
            <w:tcW w:w="667" w:type="dxa"/>
            <w:noWrap w:val="0"/>
            <w:vAlign w:val="center"/>
          </w:tcPr>
          <w:p w14:paraId="3665A968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56A97447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65AAFC4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□</w:t>
            </w:r>
          </w:p>
        </w:tc>
      </w:tr>
      <w:tr w14:paraId="5FF3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0" w:type="dxa"/>
            <w:gridSpan w:val="2"/>
            <w:noWrap w:val="0"/>
            <w:vAlign w:val="center"/>
          </w:tcPr>
          <w:p w14:paraId="1AF8F2CF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.如果标记标签不清晰可见，在集合包装外表面显示“Overpack”。</w:t>
            </w:r>
          </w:p>
        </w:tc>
        <w:tc>
          <w:tcPr>
            <w:tcW w:w="667" w:type="dxa"/>
            <w:noWrap w:val="0"/>
            <w:vAlign w:val="center"/>
          </w:tcPr>
          <w:p w14:paraId="23DD14F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0DD01758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1F2522BC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</w:tr>
      <w:tr w14:paraId="1C6B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6750" w:type="dxa"/>
            <w:gridSpan w:val="2"/>
            <w:noWrap w:val="0"/>
            <w:vAlign w:val="center"/>
          </w:tcPr>
          <w:p w14:paraId="77D9EA57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.符合国家和承运人差异。</w:t>
            </w:r>
          </w:p>
        </w:tc>
        <w:tc>
          <w:tcPr>
            <w:tcW w:w="667" w:type="dxa"/>
            <w:noWrap w:val="0"/>
            <w:vAlign w:val="center"/>
          </w:tcPr>
          <w:p w14:paraId="44E80AD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66222F70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4560F236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</w:p>
        </w:tc>
      </w:tr>
      <w:tr w14:paraId="30C4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6750" w:type="dxa"/>
            <w:gridSpan w:val="2"/>
            <w:noWrap w:val="0"/>
            <w:vAlign w:val="center"/>
          </w:tcPr>
          <w:p w14:paraId="40EF0B0B">
            <w:pPr>
              <w:pStyle w:val="5"/>
              <w:spacing w:line="360" w:lineRule="exact"/>
              <w:ind w:left="0" w:firstLine="0" w:firstLineChars="0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  <w:t>1</w:t>
            </w:r>
            <w:r>
              <w:rPr>
                <w:rFonts w:ascii="方正仿宋_GBK" w:hAnsi="方正仿宋_GBK" w:eastAsia="方正仿宋_GBK" w:cs="方正仿宋_GBK"/>
                <w:sz w:val="21"/>
                <w:szCs w:val="21"/>
              </w:rPr>
              <w:t>.</w:t>
            </w:r>
            <w:r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  <w:t>交由南航运输的锂电池货物涉及的运输站点满足《南航定期航线危险品运输站点清单》和《南航危险品运输站点临时清单》</w:t>
            </w:r>
          </w:p>
        </w:tc>
        <w:tc>
          <w:tcPr>
            <w:tcW w:w="667" w:type="dxa"/>
            <w:noWrap w:val="0"/>
            <w:vAlign w:val="center"/>
          </w:tcPr>
          <w:p w14:paraId="5B46DC22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517" w:type="dxa"/>
            <w:noWrap w:val="0"/>
            <w:vAlign w:val="center"/>
          </w:tcPr>
          <w:p w14:paraId="21EDB41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  <w:tc>
          <w:tcPr>
            <w:tcW w:w="1114" w:type="dxa"/>
            <w:noWrap w:val="0"/>
            <w:vAlign w:val="center"/>
          </w:tcPr>
          <w:p w14:paraId="515D4E19">
            <w:pPr>
              <w:ind w:left="0"/>
              <w:jc w:val="center"/>
              <w:rPr>
                <w:rFonts w:hint="eastAsia" w:ascii="方正仿宋_GBK" w:hAnsi="方正仿宋_GBK" w:eastAsia="方正仿宋_GBK" w:cs="方正仿宋_GBK"/>
                <w:sz w:val="21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1"/>
                <w:szCs w:val="21"/>
              </w:rPr>
              <w:t>□</w:t>
            </w:r>
          </w:p>
        </w:tc>
      </w:tr>
      <w:tr w14:paraId="3DC5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9048" w:type="dxa"/>
            <w:gridSpan w:val="5"/>
            <w:noWrap w:val="0"/>
            <w:vAlign w:val="top"/>
          </w:tcPr>
          <w:p w14:paraId="1B0B5A51">
            <w:pPr>
              <w:pStyle w:val="5"/>
              <w:ind w:left="0" w:firstLine="0" w:firstLineChars="0"/>
              <w:rPr>
                <w:rFonts w:hint="eastAsia" w:ascii="方正仿宋_GBK" w:hAnsi="方正仿宋_GBK" w:eastAsia="方正仿宋_GBK" w:cs="方正仿宋_GBK"/>
                <w:b/>
                <w:bCs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</w:rPr>
              <w:t>检查结果：</w:t>
            </w:r>
          </w:p>
          <w:p w14:paraId="0D928709">
            <w:pPr>
              <w:pStyle w:val="5"/>
              <w:ind w:left="0" w:firstLine="630" w:firstLineChars="300"/>
              <w:rPr>
                <w:rFonts w:hint="eastAsia" w:ascii="方正仿宋_GBK" w:hAnsi="方正仿宋_GBK" w:eastAsia="方正仿宋_GBK" w:cs="方正仿宋_GBK"/>
                <w:b/>
                <w:bCs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</w:rPr>
              <w:t>是否收运     □是    □否</w:t>
            </w:r>
          </w:p>
        </w:tc>
      </w:tr>
      <w:tr w14:paraId="1111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708" w:type="dxa"/>
            <w:noWrap w:val="0"/>
            <w:vAlign w:val="top"/>
          </w:tcPr>
          <w:p w14:paraId="17777B8F">
            <w:pPr>
              <w:pStyle w:val="5"/>
              <w:ind w:left="0" w:firstLine="0" w:firstLineChars="0"/>
              <w:rPr>
                <w:rFonts w:hint="eastAsia" w:ascii="方正仿宋_GBK" w:hAnsi="方正仿宋_GBK" w:eastAsia="方正仿宋_GBK" w:cs="方正仿宋_GBK"/>
                <w:b/>
                <w:bCs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</w:rPr>
              <w:t>检查日期：</w:t>
            </w:r>
          </w:p>
        </w:tc>
        <w:tc>
          <w:tcPr>
            <w:tcW w:w="4340" w:type="dxa"/>
            <w:gridSpan w:val="4"/>
            <w:noWrap w:val="0"/>
            <w:vAlign w:val="top"/>
          </w:tcPr>
          <w:p w14:paraId="7BE21D69">
            <w:pPr>
              <w:pStyle w:val="5"/>
              <w:ind w:left="0" w:firstLine="0" w:firstLineChars="0"/>
              <w:rPr>
                <w:rFonts w:hint="eastAsia" w:ascii="方正仿宋_GBK" w:hAnsi="方正仿宋_GBK" w:eastAsia="方正仿宋_GBK" w:cs="方正仿宋_GBK"/>
                <w:b/>
                <w:bCs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</w:rPr>
              <w:t>检查人签字：</w:t>
            </w:r>
          </w:p>
        </w:tc>
      </w:tr>
    </w:tbl>
    <w:p w14:paraId="260B4A62">
      <w:pPr>
        <w:pStyle w:val="5"/>
        <w:ind w:left="0" w:firstLine="0" w:firstLineChars="0"/>
        <w:jc w:val="left"/>
        <w:rPr>
          <w:b/>
          <w:bCs/>
          <w:i/>
          <w:color w:val="FF0000"/>
          <w:szCs w:val="28"/>
        </w:rPr>
      </w:pPr>
      <w:r>
        <w:rPr>
          <w:rFonts w:hint="eastAsia"/>
          <w:b/>
          <w:bCs/>
          <w:i/>
          <w:color w:val="FF0000"/>
          <w:szCs w:val="28"/>
        </w:rPr>
        <w:t xml:space="preserve">     注：如任一栏检查结果为“否”时，不予收运。</w:t>
      </w:r>
    </w:p>
    <w:p w14:paraId="25FA58C6">
      <w:pPr>
        <w:pStyle w:val="5"/>
        <w:ind w:left="0" w:firstLine="0" w:firstLineChars="0"/>
        <w:jc w:val="left"/>
        <w:rPr>
          <w:rFonts w:eastAsia="宋体"/>
          <w:b/>
          <w:bCs/>
          <w:iCs/>
          <w:sz w:val="28"/>
          <w:szCs w:val="32"/>
        </w:rPr>
      </w:pPr>
      <w:r>
        <w:rPr>
          <w:rFonts w:hint="eastAsia"/>
          <w:b/>
          <w:bCs/>
          <w:iCs/>
          <w:sz w:val="28"/>
          <w:szCs w:val="32"/>
        </w:rPr>
        <w:t xml:space="preserve">    版本号：第</w:t>
      </w:r>
      <w:r>
        <w:rPr>
          <w:rFonts w:hint="eastAsia"/>
          <w:b/>
          <w:bCs/>
          <w:iCs/>
          <w:color w:val="FF0000"/>
          <w:sz w:val="28"/>
          <w:szCs w:val="32"/>
          <w:lang w:eastAsia="zh-CN"/>
        </w:rPr>
        <w:t>七</w:t>
      </w:r>
      <w:r>
        <w:rPr>
          <w:rFonts w:hint="eastAsia"/>
          <w:b/>
          <w:bCs/>
          <w:iCs/>
          <w:sz w:val="28"/>
          <w:szCs w:val="32"/>
        </w:rPr>
        <w:t>版（2</w:t>
      </w:r>
      <w:r>
        <w:rPr>
          <w:b/>
          <w:bCs/>
          <w:iCs/>
          <w:sz w:val="28"/>
          <w:szCs w:val="32"/>
        </w:rPr>
        <w:t>02</w:t>
      </w:r>
      <w:r>
        <w:rPr>
          <w:rFonts w:hint="eastAsia"/>
          <w:b/>
          <w:bCs/>
          <w:iCs/>
          <w:sz w:val="28"/>
          <w:szCs w:val="32"/>
        </w:rPr>
        <w:t>5</w:t>
      </w:r>
      <w:r>
        <w:rPr>
          <w:rFonts w:hint="eastAsia"/>
          <w:b/>
          <w:bCs/>
          <w:iCs/>
          <w:color w:val="FF0000"/>
          <w:sz w:val="28"/>
          <w:szCs w:val="32"/>
          <w:lang w:val="en-US" w:eastAsia="zh-CN"/>
        </w:rPr>
        <w:t>12</w:t>
      </w:r>
      <w:r>
        <w:rPr>
          <w:rFonts w:hint="eastAsia"/>
          <w:b/>
          <w:bCs/>
          <w:iCs/>
          <w:sz w:val="28"/>
          <w:szCs w:val="32"/>
        </w:rPr>
        <w:t>修订）</w:t>
      </w:r>
    </w:p>
    <w:bookmarkEnd w:id="0"/>
    <w:p w14:paraId="35D03B05"/>
    <w:p w14:paraId="76427B4D"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黑体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DA5758CF">
    <w:panose1 w:val="020B07030202040202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C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2026-06-11T05:22:35Z</dcterms:created>
  <dc:creator>zhangxin</dc:creator>
  <cp:lastModifiedBy> 阿蜡笔小新鑫</cp:lastModifiedBy>
  <dcterms:modified xsi:type="dcterms:W3CDTF">2026-06-11T05:22:49Z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eyJoZGlkIjoiYjU3OWMzZDMzNDNiOTNkMmE1YjJmMGNjNDJhZjY5OGEiLCJ1c2VySWQiOiI2NDc2NzQ1MTcifQ==</vt:lpwstr>
  </property>
  <property fmtid="{D5CDD505-2E9C-101B-9397-08002B2CF9AE}" pid="4" name="ICV">
    <vt:lpwstr>382DD31BE02F4529BC671E850236D33D_12</vt:lpwstr>
  </property>
</Properties>
</file>