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EF577">
      <w:pPr>
        <w:pStyle w:val="2"/>
        <w:ind w:left="357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bookmarkStart w:id="0" w:name="_Hlk161396157"/>
      <w:r>
        <w:rPr>
          <w:rFonts w:hint="eastAsia" w:ascii="方正小标宋简体" w:hAnsi="方正小标宋简体" w:eastAsia="方正小标宋简体" w:cs="方正小标宋简体"/>
          <w:sz w:val="36"/>
          <w:szCs w:val="36"/>
          <w:lang w:bidi="ar"/>
        </w:rPr>
        <w:t>符合包装说明第Ⅱ部分锂电池货物收运检查单</w:t>
      </w:r>
    </w:p>
    <w:p w14:paraId="4EF3190A">
      <w:pPr>
        <w:pStyle w:val="2"/>
        <w:ind w:left="357"/>
        <w:jc w:val="center"/>
        <w:rPr>
          <w:rFonts w:ascii="方正黑体_GBK" w:hAnsi="Calibri" w:eastAsia="方正黑体_GBK"/>
          <w:color w:val="FF0000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bidi="ar"/>
        </w:rPr>
        <w:t>（适用于销售代理人交运货物）</w:t>
      </w:r>
      <w:r>
        <w:rPr>
          <w:rFonts w:hint="eastAsia" w:ascii="方正黑体_GBK" w:hAnsi="Calibri" w:eastAsia="方正黑体_GBK"/>
          <w:color w:val="FF0000"/>
          <w:sz w:val="32"/>
          <w:szCs w:val="32"/>
          <w:lang w:bidi="ar"/>
        </w:rPr>
        <w:t xml:space="preserve"> </w:t>
      </w:r>
    </w:p>
    <w:p w14:paraId="5AA064C4">
      <w:pPr>
        <w:pStyle w:val="2"/>
        <w:ind w:left="0"/>
        <w:rPr>
          <w:rFonts w:hint="eastAsia" w:ascii="方正黑体_GBK" w:hAnsi="方正黑体_GBK" w:eastAsia="方正黑体_GBK" w:cs="方正黑体_GBK"/>
          <w:sz w:val="28"/>
          <w:szCs w:val="28"/>
        </w:rPr>
      </w:pPr>
      <w:r>
        <w:rPr>
          <w:rFonts w:hint="eastAsia" w:ascii="方正黑体_GBK" w:hAnsi="方正黑体_GBK" w:eastAsia="方正黑体_GBK" w:cs="方正黑体_GBK"/>
          <w:sz w:val="28"/>
          <w:szCs w:val="28"/>
          <w:lang w:bidi="ar"/>
        </w:rPr>
        <w:t xml:space="preserve">货运单号码：______________   </w:t>
      </w:r>
      <w:r>
        <w:rPr>
          <w:rFonts w:hint="eastAsia" w:ascii="方正黑体_GBK" w:hAnsi="方正黑体_GBK" w:eastAsia="方正黑体_GBK" w:cs="方正黑体_GBK"/>
          <w:sz w:val="28"/>
          <w:szCs w:val="22"/>
        </w:rPr>
        <w:t>收运单位：_______________</w:t>
      </w:r>
    </w:p>
    <w:tbl>
      <w:tblPr>
        <w:tblStyle w:val="4"/>
        <w:tblW w:w="9048" w:type="dxa"/>
        <w:tblInd w:w="-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0"/>
        <w:gridCol w:w="667"/>
        <w:gridCol w:w="517"/>
        <w:gridCol w:w="1114"/>
      </w:tblGrid>
      <w:tr w14:paraId="4BAE8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6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noWrap w:val="0"/>
            <w:vAlign w:val="center"/>
          </w:tcPr>
          <w:p w14:paraId="20E9D6D9">
            <w:pPr>
              <w:pStyle w:val="2"/>
              <w:ind w:left="0"/>
              <w:jc w:val="left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bidi="ar"/>
              </w:rPr>
              <w:t>检查内容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 w:val="0"/>
            <w:vAlign w:val="center"/>
          </w:tcPr>
          <w:p w14:paraId="5B585829">
            <w:pPr>
              <w:pStyle w:val="2"/>
              <w:ind w:left="0"/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bidi="ar"/>
              </w:rPr>
              <w:t>是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 w:val="0"/>
            <w:vAlign w:val="center"/>
          </w:tcPr>
          <w:p w14:paraId="6D899B09">
            <w:pPr>
              <w:pStyle w:val="2"/>
              <w:ind w:left="0"/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bidi="ar"/>
              </w:rPr>
              <w:t>否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 w:val="0"/>
            <w:vAlign w:val="center"/>
          </w:tcPr>
          <w:p w14:paraId="75A8CC25">
            <w:pPr>
              <w:pStyle w:val="2"/>
              <w:ind w:left="0"/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bidi="ar"/>
              </w:rPr>
              <w:t>不适用</w:t>
            </w:r>
          </w:p>
        </w:tc>
      </w:tr>
      <w:tr w14:paraId="58A97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6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3286F5">
            <w:pPr>
              <w:autoSpaceDE w:val="0"/>
              <w:spacing w:line="30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1.销售代理人提供的《符合包装说明第Ⅱ部分锂电池货物运输声明（销售代理人）》完整准确。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880354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228C1F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A1C2E2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</w:p>
        </w:tc>
      </w:tr>
    </w:tbl>
    <w:tbl>
      <w:tblPr>
        <w:tblStyle w:val="3"/>
        <w:tblW w:w="9048" w:type="dxa"/>
        <w:tblInd w:w="-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0"/>
        <w:gridCol w:w="667"/>
        <w:gridCol w:w="517"/>
        <w:gridCol w:w="1114"/>
      </w:tblGrid>
      <w:tr w14:paraId="4AD82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6750" w:type="dxa"/>
            <w:noWrap w:val="0"/>
            <w:vAlign w:val="center"/>
          </w:tcPr>
          <w:p w14:paraId="6AC44528">
            <w:pPr>
              <w:spacing w:line="360" w:lineRule="exact"/>
              <w:ind w:left="0"/>
              <w:rPr>
                <w:rFonts w:hint="default" w:ascii="方正仿宋_GBK" w:hAnsi="方正仿宋_GBK" w:eastAsia="方正仿宋_GBK" w:cs="方正仿宋_GBK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color w:val="FF0000"/>
                <w:sz w:val="21"/>
                <w:szCs w:val="21"/>
                <w:lang w:val="en-US" w:eastAsia="zh-CN"/>
              </w:rPr>
              <w:t>2.额定能量超过2.7Wh但不超过100Wh的符合包装说明966第II部分的锂电池货物，荷电状态（SoC）不超过30%。</w:t>
            </w:r>
          </w:p>
        </w:tc>
        <w:tc>
          <w:tcPr>
            <w:tcW w:w="667" w:type="dxa"/>
            <w:noWrap w:val="0"/>
            <w:vAlign w:val="top"/>
          </w:tcPr>
          <w:p w14:paraId="280B527B">
            <w:pPr>
              <w:ind w:left="0" w:leftChars="0"/>
              <w:jc w:val="center"/>
              <w:rPr>
                <w:rFonts w:hint="eastAsia" w:ascii="方正仿宋_GBK" w:hAnsi="方正仿宋_GBK" w:eastAsia="方正仿宋_GBK" w:cs="方正仿宋_GBK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color w:val="FF0000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top"/>
          </w:tcPr>
          <w:p w14:paraId="598FA5CB">
            <w:pPr>
              <w:ind w:left="0" w:leftChars="0"/>
              <w:jc w:val="center"/>
              <w:rPr>
                <w:rFonts w:hint="eastAsia" w:ascii="方正仿宋_GBK" w:hAnsi="方正仿宋_GBK" w:eastAsia="方正仿宋_GBK" w:cs="方正仿宋_GBK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color w:val="FF0000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top"/>
          </w:tcPr>
          <w:p w14:paraId="2D46B92F">
            <w:pPr>
              <w:ind w:left="0" w:leftChars="0"/>
              <w:jc w:val="center"/>
              <w:rPr>
                <w:rFonts w:ascii="方正仿宋_GBK" w:hAnsi="方正仿宋_GBK" w:eastAsia="方正仿宋_GBK" w:cs="方正仿宋_GBK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color w:val="FF0000"/>
                <w:kern w:val="0"/>
                <w:sz w:val="21"/>
                <w:szCs w:val="21"/>
              </w:rPr>
              <w:t>□</w:t>
            </w:r>
          </w:p>
        </w:tc>
      </w:tr>
    </w:tbl>
    <w:tbl>
      <w:tblPr>
        <w:tblStyle w:val="4"/>
        <w:tblW w:w="9048" w:type="dxa"/>
        <w:tblInd w:w="-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8"/>
        <w:gridCol w:w="2042"/>
        <w:gridCol w:w="667"/>
        <w:gridCol w:w="517"/>
        <w:gridCol w:w="1114"/>
      </w:tblGrid>
      <w:tr w14:paraId="52DF1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499D1C">
            <w:pPr>
              <w:numPr>
                <w:ilvl w:val="0"/>
                <w:numId w:val="0"/>
              </w:numPr>
              <w:autoSpaceDE w:val="0"/>
              <w:spacing w:line="30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3.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交由南航运输的锂电池货物已完成锂电池型号备案或现场查验文件。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97FBC0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9D7CB7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93F78B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</w:p>
        </w:tc>
      </w:tr>
      <w:tr w14:paraId="0DB8B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2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2411E7">
            <w:pPr>
              <w:pStyle w:val="2"/>
              <w:autoSpaceDE w:val="0"/>
              <w:spacing w:line="30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.符合相应包装说明第Ⅱ部分的锂电池货物，必须在货运单上的“货物品名（description</w:t>
            </w:r>
            <w:r>
              <w:rPr>
                <w:rFonts w:ascii="方正仿宋_GBK" w:hAnsi="方正仿宋_GBK" w:eastAsia="方正仿宋_GBK" w:cs="方正仿宋_GBK"/>
                <w:sz w:val="22"/>
                <w:szCs w:val="22"/>
                <w:lang w:bidi="ar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of goods）”栏注明“锂XX电池，符合PIXXX第Ⅱ部分”。（根据DGR规定不做电池标记的，货运单上不应注明。但包装件上做电池标记的，货运单上必须注明。）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627D22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F92B43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5FB208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</w:tr>
      <w:tr w14:paraId="0793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CFC5C">
            <w:pPr>
              <w:pStyle w:val="2"/>
              <w:autoSpaceDE w:val="0"/>
              <w:spacing w:line="30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.货运单上的“托运人或其代理人签字、盖章（Signature of Shipper or His Agent）”栏与“填开人或其</w:t>
            </w:r>
            <w:bookmarkStart w:id="1" w:name="_GoBack"/>
            <w:bookmarkEnd w:id="1"/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代理人签字、盖章（Signature of Issuing Carrier or Its Agent）”栏不为同一人且不能为同一公司。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BA3BAA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7C2C8B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401635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</w:p>
        </w:tc>
      </w:tr>
      <w:tr w14:paraId="3899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90F94D">
            <w:pPr>
              <w:pStyle w:val="2"/>
              <w:autoSpaceDE w:val="0"/>
              <w:spacing w:line="36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6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.销售代理人的《符合包装说明第Ⅱ部分锂电池货物收运检查单（适用于托运人交货）》完整准确，并签字盖章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D20EE5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61FD42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74BF9D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</w:p>
        </w:tc>
      </w:tr>
      <w:tr w14:paraId="45CBD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A0815">
            <w:pPr>
              <w:pStyle w:val="2"/>
              <w:autoSpaceDE w:val="0"/>
              <w:spacing w:line="36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7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.填制《符合包装说明第Ⅱ部分锂电池货物收运检查单（适用于托运人交货）》的人员具备相应的危险品运输资质。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82BCAF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652667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D62BE7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</w:pPr>
          </w:p>
        </w:tc>
      </w:tr>
      <w:tr w14:paraId="7FD5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40831">
            <w:pPr>
              <w:pStyle w:val="2"/>
              <w:autoSpaceDE w:val="0"/>
              <w:spacing w:line="24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8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.包装件的外包装坚固，以避免损坏，且在良好的待运状态。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0C3C2F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1850F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6E4979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color w:val="FF0000"/>
                <w:sz w:val="18"/>
                <w:szCs w:val="18"/>
              </w:rPr>
            </w:pPr>
          </w:p>
        </w:tc>
      </w:tr>
      <w:tr w14:paraId="2268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9B5314">
            <w:pPr>
              <w:pStyle w:val="2"/>
              <w:autoSpaceDE w:val="0"/>
              <w:spacing w:line="24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9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正确做电池标记。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5EA74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77912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FDA402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</w:tr>
      <w:tr w14:paraId="04FD2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17EA8">
            <w:pPr>
              <w:pStyle w:val="2"/>
              <w:autoSpaceDE w:val="0"/>
              <w:spacing w:line="24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10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.清除或涂去无关的标记标签。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5FE711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2918E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CAEF4A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</w:p>
        </w:tc>
      </w:tr>
      <w:tr w14:paraId="0A1EE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7C42D">
            <w:pPr>
              <w:pStyle w:val="2"/>
              <w:autoSpaceDE w:val="0"/>
              <w:spacing w:line="24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1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.包装使用的标记标签必须清晰可见，或者在集合包装外重现。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AA5169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52C32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E9737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□</w:t>
            </w:r>
          </w:p>
        </w:tc>
      </w:tr>
      <w:tr w14:paraId="66CD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6BDD91">
            <w:pPr>
              <w:pStyle w:val="2"/>
              <w:autoSpaceDE w:val="0"/>
              <w:spacing w:line="24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1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.如果标记标签不清晰可见，在集合包装外表面显示“Overpack”。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495825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EFB58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332BB3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</w:tr>
      <w:tr w14:paraId="1696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C002A9">
            <w:pPr>
              <w:pStyle w:val="2"/>
              <w:autoSpaceDE w:val="0"/>
              <w:spacing w:line="24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1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>.符合国家和承运人差异。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100ED9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D92643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4E487D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</w:p>
        </w:tc>
      </w:tr>
      <w:tr w14:paraId="78A21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A5000">
            <w:pPr>
              <w:pStyle w:val="2"/>
              <w:autoSpaceDE w:val="0"/>
              <w:spacing w:line="240" w:lineRule="exact"/>
              <w:ind w:left="0"/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1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4</w:t>
            </w:r>
            <w:r>
              <w:rPr>
                <w:rFonts w:ascii="方正仿宋_GBK" w:hAnsi="方正仿宋_GBK" w:eastAsia="方正仿宋_GBK" w:cs="方正仿宋_GBK"/>
                <w:sz w:val="21"/>
                <w:szCs w:val="21"/>
              </w:rPr>
              <w:t>.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交由南航运输的锂电池货物涉及的运输站点满足《南航定期航线危险品运输站点清单》和《南航危险品运输站点临时清单》</w:t>
            </w:r>
          </w:p>
        </w:tc>
        <w:tc>
          <w:tcPr>
            <w:tcW w:w="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124CEC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7362A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FB8324">
            <w:pPr>
              <w:spacing w:line="240" w:lineRule="exact"/>
              <w:ind w:left="0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bidi="ar"/>
              </w:rPr>
              <w:t>□</w:t>
            </w:r>
          </w:p>
        </w:tc>
      </w:tr>
      <w:tr w14:paraId="77571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904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32A245">
            <w:pPr>
              <w:pStyle w:val="2"/>
              <w:ind w:left="0"/>
              <w:rPr>
                <w:rFonts w:hint="eastAsia" w:ascii="方正仿宋_GBK" w:hAnsi="方正仿宋_GBK" w:eastAsia="方正仿宋_GBK" w:cs="方正仿宋_GBK"/>
                <w:b/>
                <w:lang w:bidi="ar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lang w:bidi="ar"/>
              </w:rPr>
              <w:t>检查结果：</w:t>
            </w:r>
          </w:p>
          <w:p w14:paraId="1916A85E">
            <w:pPr>
              <w:pStyle w:val="2"/>
              <w:ind w:left="0"/>
              <w:rPr>
                <w:rFonts w:hint="eastAsia" w:ascii="方正仿宋_GBK" w:hAnsi="方正仿宋_GBK" w:eastAsia="方正仿宋_GBK" w:cs="方正仿宋_GBK"/>
                <w:b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lang w:bidi="ar"/>
              </w:rPr>
              <w:t>是否收运     □是    □否</w:t>
            </w:r>
          </w:p>
        </w:tc>
      </w:tr>
      <w:tr w14:paraId="7AC7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4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0EA4C4">
            <w:pPr>
              <w:pStyle w:val="2"/>
              <w:ind w:left="0"/>
              <w:rPr>
                <w:rFonts w:hint="eastAsia" w:ascii="方正仿宋_GBK" w:hAnsi="方正仿宋_GBK" w:eastAsia="方正仿宋_GBK" w:cs="方正仿宋_GBK"/>
                <w:b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lang w:bidi="ar"/>
              </w:rPr>
              <w:t>检查日期：</w:t>
            </w:r>
          </w:p>
        </w:tc>
        <w:tc>
          <w:tcPr>
            <w:tcW w:w="434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A858EF">
            <w:pPr>
              <w:pStyle w:val="2"/>
              <w:ind w:left="0"/>
              <w:rPr>
                <w:rFonts w:hint="eastAsia" w:ascii="方正仿宋_GBK" w:hAnsi="方正仿宋_GBK" w:eastAsia="方正仿宋_GBK" w:cs="方正仿宋_GBK"/>
                <w:b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lang w:bidi="ar"/>
              </w:rPr>
              <w:t>检查人签字：</w:t>
            </w:r>
          </w:p>
        </w:tc>
      </w:tr>
    </w:tbl>
    <w:p w14:paraId="1A7E061A">
      <w:pPr>
        <w:pStyle w:val="2"/>
        <w:ind w:left="0" w:firstLine="422" w:firstLineChars="200"/>
        <w:rPr>
          <w:rFonts w:ascii="Calibri" w:hAnsi="Calibri"/>
          <w:b/>
          <w:i/>
          <w:color w:val="FF0000"/>
          <w:lang w:bidi="ar"/>
        </w:rPr>
      </w:pPr>
      <w:r>
        <w:rPr>
          <w:rFonts w:hint="eastAsia" w:ascii="Calibri" w:hAnsi="Calibri"/>
          <w:b/>
          <w:i/>
          <w:color w:val="FF0000"/>
          <w:lang w:bidi="ar"/>
        </w:rPr>
        <w:t xml:space="preserve">  注：如任一栏检查结果为“否”时，不予收运。</w:t>
      </w:r>
    </w:p>
    <w:p w14:paraId="459BDC1A">
      <w:pPr>
        <w:pStyle w:val="2"/>
        <w:ind w:left="0" w:firstLine="562" w:firstLineChars="200"/>
        <w:rPr>
          <w:b/>
          <w:bCs/>
          <w:iCs/>
          <w:sz w:val="28"/>
          <w:szCs w:val="32"/>
        </w:rPr>
      </w:pPr>
      <w:r>
        <w:rPr>
          <w:rFonts w:hint="eastAsia" w:ascii="Calibri" w:hAnsi="Calibri"/>
          <w:b/>
          <w:sz w:val="28"/>
          <w:szCs w:val="28"/>
          <w:lang w:bidi="ar"/>
        </w:rPr>
        <w:t xml:space="preserve"> 版本号：</w:t>
      </w:r>
      <w:r>
        <w:rPr>
          <w:rFonts w:hint="eastAsia"/>
          <w:b/>
          <w:bCs/>
          <w:iCs/>
          <w:sz w:val="28"/>
          <w:szCs w:val="32"/>
        </w:rPr>
        <w:t>第</w:t>
      </w:r>
      <w:r>
        <w:rPr>
          <w:rFonts w:hint="eastAsia"/>
          <w:b/>
          <w:bCs/>
          <w:iCs/>
          <w:color w:val="FF0000"/>
          <w:sz w:val="28"/>
          <w:szCs w:val="32"/>
          <w:lang w:eastAsia="zh-CN"/>
        </w:rPr>
        <w:t>七</w:t>
      </w:r>
      <w:r>
        <w:rPr>
          <w:rFonts w:hint="eastAsia"/>
          <w:b/>
          <w:bCs/>
          <w:iCs/>
          <w:sz w:val="28"/>
          <w:szCs w:val="32"/>
        </w:rPr>
        <w:t>版（2</w:t>
      </w:r>
      <w:r>
        <w:rPr>
          <w:b/>
          <w:bCs/>
          <w:iCs/>
          <w:sz w:val="28"/>
          <w:szCs w:val="32"/>
        </w:rPr>
        <w:t>02</w:t>
      </w:r>
      <w:r>
        <w:rPr>
          <w:rFonts w:hint="eastAsia"/>
          <w:b/>
          <w:bCs/>
          <w:iCs/>
          <w:sz w:val="28"/>
          <w:szCs w:val="32"/>
        </w:rPr>
        <w:t>5</w:t>
      </w:r>
      <w:r>
        <w:rPr>
          <w:rFonts w:hint="eastAsia"/>
          <w:b/>
          <w:bCs/>
          <w:iCs/>
          <w:color w:val="FF0000"/>
          <w:sz w:val="28"/>
          <w:szCs w:val="32"/>
          <w:lang w:val="en-US" w:eastAsia="zh-CN"/>
        </w:rPr>
        <w:t>12</w:t>
      </w:r>
      <w:r>
        <w:rPr>
          <w:rFonts w:hint="eastAsia"/>
          <w:b/>
          <w:bCs/>
          <w:iCs/>
          <w:sz w:val="28"/>
          <w:szCs w:val="32"/>
        </w:rPr>
        <w:t>修订）</w:t>
      </w:r>
      <w:bookmarkEnd w:id="0"/>
    </w:p>
    <w:p w14:paraId="6FBD44CA"/>
    <w:p w14:paraId="54E7A915"/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黑体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C83043A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DA5758CF">
    <w:panose1 w:val="020B07030202040202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2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2026-06-11T05:23:46Z</dcterms:created>
  <dc:creator>zhangxin</dc:creator>
  <cp:lastModifiedBy> 阿蜡笔小新鑫</cp:lastModifiedBy>
  <dcterms:modified xsi:type="dcterms:W3CDTF">2026-06-11T05:23:59Z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eyJoZGlkIjoiYjU3OWMzZDMzNDNiOTNkMmE1YjJmMGNjNDJhZjY5OGEiLCJ1c2VySWQiOiI2NDc2NzQ1MTcifQ==</vt:lpwstr>
  </property>
  <property fmtid="{D5CDD505-2E9C-101B-9397-08002B2CF9AE}" pid="4" name="ICV">
    <vt:lpwstr>F6D010F1D28D437D9827F46AA64811D5_12</vt:lpwstr>
  </property>
</Properties>
</file>