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BE1E3">
      <w:pPr>
        <w:spacing w:before="100" w:beforeAutospacing="1" w:after="100" w:afterAutospacing="1" w:line="480" w:lineRule="exact"/>
        <w:ind w:left="0" w:right="73" w:rightChars="35"/>
        <w:jc w:val="center"/>
        <w:rPr>
          <w:rFonts w:eastAsia="方正小标宋简体" w:cs="Arial"/>
          <w:sz w:val="36"/>
          <w:szCs w:val="36"/>
          <w:lang w:bidi="ar"/>
        </w:rPr>
      </w:pPr>
      <w:r>
        <w:rPr>
          <w:rFonts w:hint="eastAsia" w:eastAsia="方正小标宋简体" w:cs="Arial"/>
          <w:sz w:val="36"/>
          <w:szCs w:val="36"/>
          <w:lang w:bidi="ar"/>
        </w:rPr>
        <w:t>符合</w:t>
      </w:r>
      <w:r>
        <w:rPr>
          <w:rFonts w:eastAsia="方正小标宋简体" w:cs="Arial"/>
          <w:sz w:val="36"/>
          <w:szCs w:val="36"/>
          <w:lang w:bidi="ar"/>
        </w:rPr>
        <w:t>包装说明第</w:t>
      </w:r>
      <w:r>
        <w:rPr>
          <w:rFonts w:hint="eastAsia" w:ascii="方正小标宋简体" w:hAnsi="宋体" w:eastAsia="方正小标宋简体" w:cs="宋体"/>
          <w:sz w:val="36"/>
          <w:szCs w:val="36"/>
          <w:lang w:bidi="ar"/>
        </w:rPr>
        <w:t>Ⅱ</w:t>
      </w:r>
      <w:r>
        <w:rPr>
          <w:rFonts w:eastAsia="方正小标宋简体" w:cs="Arial"/>
          <w:sz w:val="36"/>
          <w:szCs w:val="36"/>
          <w:lang w:bidi="ar"/>
        </w:rPr>
        <w:t>部分锂电池货物运输声明</w:t>
      </w:r>
    </w:p>
    <w:p w14:paraId="467882BD">
      <w:pPr>
        <w:spacing w:before="100" w:beforeAutospacing="1" w:after="100" w:afterAutospacing="1" w:line="480" w:lineRule="exact"/>
        <w:ind w:left="0" w:right="73" w:rightChars="35"/>
        <w:jc w:val="center"/>
        <w:rPr>
          <w:rFonts w:eastAsia="方正小标宋简体" w:cs="Arial"/>
          <w:sz w:val="28"/>
          <w:szCs w:val="28"/>
        </w:rPr>
      </w:pPr>
      <w:r>
        <w:rPr>
          <w:rFonts w:eastAsia="方正小标宋简体" w:cs="Arial"/>
          <w:sz w:val="28"/>
          <w:szCs w:val="28"/>
          <w:lang w:bidi="ar"/>
        </w:rPr>
        <w:t>（</w:t>
      </w:r>
      <w:r>
        <w:rPr>
          <w:rFonts w:hint="eastAsia" w:eastAsia="方正小标宋简体" w:cs="Arial"/>
          <w:sz w:val="28"/>
          <w:szCs w:val="28"/>
          <w:lang w:bidi="ar"/>
        </w:rPr>
        <w:t>适用于托运人交运货物</w:t>
      </w:r>
      <w:r>
        <w:rPr>
          <w:rFonts w:eastAsia="方正小标宋简体" w:cs="Arial"/>
          <w:sz w:val="28"/>
          <w:szCs w:val="28"/>
          <w:lang w:bidi="ar"/>
        </w:rPr>
        <w:t>）</w:t>
      </w:r>
    </w:p>
    <w:p w14:paraId="78AF95F6">
      <w:pPr>
        <w:spacing w:before="100" w:beforeAutospacing="1" w:after="100" w:afterAutospacing="1" w:line="480" w:lineRule="exact"/>
        <w:ind w:left="0" w:right="73" w:rightChars="35"/>
        <w:rPr>
          <w:rFonts w:eastAsia="方正仿宋_GBK" w:cs="Arial"/>
          <w:lang w:bidi="ar"/>
        </w:rPr>
      </w:pPr>
      <w:r>
        <w:rPr>
          <w:rFonts w:eastAsia="方正仿宋_GBK" w:cs="Arial"/>
          <w:lang w:bidi="ar"/>
        </w:rPr>
        <w:t>中国南方航空股份有限公司：</w:t>
      </w:r>
    </w:p>
    <w:p w14:paraId="047F0F12">
      <w:pPr>
        <w:spacing w:before="100" w:beforeAutospacing="1" w:after="100" w:afterAutospacing="1" w:line="480" w:lineRule="exact"/>
        <w:ind w:left="0" w:right="73" w:rightChars="35" w:firstLine="420" w:firstLineChars="200"/>
        <w:rPr>
          <w:rFonts w:eastAsia="方正仿宋_GBK" w:cs="Arial"/>
          <w:color w:val="000000"/>
          <w:lang w:bidi="ar"/>
        </w:rPr>
      </w:pPr>
      <w:r>
        <w:rPr>
          <w:rFonts w:eastAsia="方正仿宋_GBK" w:cs="Arial"/>
          <w:color w:val="000000"/>
          <w:lang w:bidi="ar"/>
        </w:rPr>
        <w:t>交由贵司运输的锂电池货物</w:t>
      </w:r>
      <w:r>
        <w:rPr>
          <w:rFonts w:hint="eastAsia" w:eastAsia="方正仿宋_GBK" w:cs="Arial"/>
          <w:color w:val="000000"/>
          <w:lang w:bidi="ar"/>
        </w:rPr>
        <w:t>是</w:t>
      </w:r>
      <w:r>
        <w:rPr>
          <w:rFonts w:eastAsia="方正仿宋_GBK" w:cs="Arial"/>
          <w:color w:val="000000"/>
          <w:lang w:bidi="ar"/>
        </w:rPr>
        <w:t>按国际航协现行有效的《危险品规则》中规定的质量管理方案生产，满足联合国《试验</w:t>
      </w:r>
      <w:bookmarkStart w:id="0" w:name="_GoBack"/>
      <w:bookmarkEnd w:id="0"/>
      <w:r>
        <w:rPr>
          <w:rFonts w:eastAsia="方正仿宋_GBK" w:cs="Arial"/>
          <w:color w:val="000000"/>
          <w:lang w:bidi="ar"/>
        </w:rPr>
        <w:t>和标准手册》第</w:t>
      </w:r>
      <w:r>
        <w:rPr>
          <w:rFonts w:hint="eastAsia" w:eastAsia="方正仿宋_GBK" w:cs="Arial"/>
          <w:color w:val="000000"/>
          <w:lang w:bidi="ar"/>
        </w:rPr>
        <w:t>Ⅲ</w:t>
      </w:r>
      <w:r>
        <w:rPr>
          <w:rFonts w:eastAsia="方正仿宋_GBK" w:cs="Arial"/>
          <w:color w:val="000000"/>
          <w:lang w:bidi="ar"/>
        </w:rPr>
        <w:t>部分38.3</w:t>
      </w:r>
      <w:r>
        <w:rPr>
          <w:rFonts w:hint="eastAsia" w:ascii="方正仿宋_GBK" w:hAnsi="方正仿宋_GBK" w:eastAsia="方正仿宋_GBK" w:cs="方正仿宋_GBK"/>
          <w:color w:val="000000"/>
          <w:lang w:bidi="ar"/>
        </w:rPr>
        <w:t>小节规定的试验要求，</w:t>
      </w:r>
      <w:r>
        <w:rPr>
          <w:rFonts w:hint="eastAsia" w:eastAsia="方正仿宋_GBK" w:cs="Arial"/>
          <w:color w:val="000000"/>
          <w:lang w:bidi="ar"/>
        </w:rPr>
        <w:t>不属于存在安全缺陷或已经损坏的电池或电池芯。</w:t>
      </w:r>
      <w:r>
        <w:rPr>
          <w:rFonts w:hint="eastAsia" w:ascii="方正仿宋_GBK" w:hAnsi="方正仿宋_GBK" w:eastAsia="方正仿宋_GBK" w:cs="方正仿宋_GBK"/>
          <w:color w:val="000000"/>
          <w:lang w:bidi="ar"/>
        </w:rPr>
        <w:t>符合《危险品规则》</w:t>
      </w:r>
      <w:r>
        <w:rPr>
          <w:rFonts w:hint="eastAsia" w:eastAsia="方正仿宋_GBK" w:cs="Arial"/>
          <w:color w:val="000000"/>
          <w:lang w:bidi="ar"/>
        </w:rPr>
        <w:t>相应</w:t>
      </w:r>
      <w:r>
        <w:rPr>
          <w:rFonts w:eastAsia="方正仿宋_GBK" w:cs="Arial"/>
          <w:color w:val="000000"/>
          <w:lang w:bidi="ar"/>
        </w:rPr>
        <w:t>包装说明第</w:t>
      </w:r>
      <w:r>
        <w:rPr>
          <w:rFonts w:hint="eastAsia" w:eastAsia="方正仿宋_GBK" w:cs="Arial"/>
          <w:color w:val="000000"/>
          <w:lang w:bidi="ar"/>
        </w:rPr>
        <w:t>Ⅱ</w:t>
      </w:r>
      <w:r>
        <w:rPr>
          <w:rFonts w:eastAsia="方正仿宋_GBK" w:cs="Arial"/>
          <w:color w:val="000000"/>
          <w:lang w:bidi="ar"/>
        </w:rPr>
        <w:t>部分的相关要求</w:t>
      </w:r>
      <w:r>
        <w:rPr>
          <w:rFonts w:hint="eastAsia" w:eastAsia="方正仿宋_GBK" w:cs="Arial"/>
          <w:color w:val="000000"/>
          <w:lang w:bidi="ar"/>
        </w:rPr>
        <w:t>，已采取措施防短路和防止同一内包装中的导电物质与电池或电池芯接触，确保设备能固定在外包装中以免发生移动，并采取有效方法以防止运输过程中被意外启动，每个包装件内的锂电池芯或电池净数量不超过5kg，按照《危险品规则》相应包装说明进行包装，并正确加标记、贴标签</w:t>
      </w:r>
      <w:r>
        <w:rPr>
          <w:rFonts w:hint="eastAsia" w:eastAsia="方正仿宋_GBK" w:cs="Arial"/>
          <w:color w:val="EE0000"/>
          <w:lang w:bidi="ar"/>
        </w:rPr>
        <w:t>，</w:t>
      </w:r>
      <w:r>
        <w:rPr>
          <w:rFonts w:hint="eastAsia" w:eastAsia="方正仿宋_GBK" w:cs="Arial"/>
          <w:color w:val="000000"/>
          <w:lang w:bidi="ar"/>
        </w:rPr>
        <w:t>且经过评估，包装件满足《危险品规则》相关包装说明有关3米24小时堆码承受力要求。锂电池</w:t>
      </w:r>
      <w:r>
        <w:rPr>
          <w:rFonts w:eastAsia="方正仿宋_GBK" w:cs="Arial"/>
          <w:color w:val="000000"/>
          <w:lang w:bidi="ar"/>
        </w:rPr>
        <w:t>货物信息如下</w:t>
      </w:r>
      <w:r>
        <w:rPr>
          <w:rFonts w:hint="eastAsia" w:eastAsia="方正仿宋_GBK" w:cs="Arial"/>
          <w:color w:val="000000"/>
          <w:lang w:bidi="ar"/>
        </w:rPr>
        <w:t>：</w:t>
      </w:r>
    </w:p>
    <w:tbl>
      <w:tblPr>
        <w:tblStyle w:val="4"/>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276"/>
        <w:gridCol w:w="1701"/>
        <w:gridCol w:w="1275"/>
        <w:gridCol w:w="1276"/>
        <w:gridCol w:w="1276"/>
      </w:tblGrid>
      <w:tr w14:paraId="0FF3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noWrap w:val="0"/>
            <w:vAlign w:val="top"/>
          </w:tcPr>
          <w:p w14:paraId="6B4B698E">
            <w:pPr>
              <w:spacing w:before="100" w:beforeAutospacing="1" w:after="100" w:afterAutospacing="1" w:line="480" w:lineRule="exact"/>
              <w:ind w:left="0" w:right="73" w:rightChars="35"/>
              <w:rPr>
                <w:rFonts w:eastAsia="方正仿宋_GBK" w:cs="Arial"/>
                <w:b/>
                <w:sz w:val="22"/>
                <w:szCs w:val="22"/>
              </w:rPr>
            </w:pPr>
            <w:r>
              <w:rPr>
                <w:rFonts w:hint="eastAsia" w:eastAsia="方正仿宋_GBK" w:cs="Arial"/>
                <w:b/>
                <w:sz w:val="22"/>
                <w:szCs w:val="22"/>
                <w:lang w:bidi="ar"/>
              </w:rPr>
              <w:t>锂电池生产</w:t>
            </w:r>
            <w:r>
              <w:rPr>
                <w:rFonts w:eastAsia="方正仿宋_GBK" w:cs="Arial"/>
                <w:b/>
                <w:sz w:val="22"/>
                <w:szCs w:val="22"/>
                <w:lang w:bidi="ar"/>
              </w:rPr>
              <w:t>厂家</w:t>
            </w:r>
          </w:p>
        </w:tc>
        <w:tc>
          <w:tcPr>
            <w:tcW w:w="1276" w:type="dxa"/>
            <w:tcBorders>
              <w:top w:val="single" w:color="auto" w:sz="4" w:space="0"/>
              <w:left w:val="nil"/>
              <w:bottom w:val="single" w:color="auto" w:sz="4" w:space="0"/>
              <w:right w:val="single" w:color="auto" w:sz="4" w:space="0"/>
            </w:tcBorders>
            <w:noWrap w:val="0"/>
            <w:vAlign w:val="top"/>
          </w:tcPr>
          <w:p w14:paraId="22723F45">
            <w:pPr>
              <w:spacing w:before="100" w:beforeAutospacing="1" w:after="100" w:afterAutospacing="1" w:line="480" w:lineRule="exact"/>
              <w:ind w:left="0" w:right="73" w:rightChars="35"/>
              <w:rPr>
                <w:rFonts w:eastAsia="方正仿宋_GBK" w:cs="Arial"/>
                <w:b/>
                <w:sz w:val="22"/>
                <w:szCs w:val="22"/>
              </w:rPr>
            </w:pPr>
            <w:r>
              <w:rPr>
                <w:rFonts w:hint="eastAsia" w:eastAsia="方正仿宋_GBK" w:cs="Arial"/>
                <w:b/>
                <w:sz w:val="22"/>
                <w:szCs w:val="22"/>
                <w:lang w:bidi="ar"/>
              </w:rPr>
              <w:t>锂电池</w:t>
            </w:r>
            <w:r>
              <w:rPr>
                <w:rFonts w:eastAsia="方正仿宋_GBK" w:cs="Arial"/>
                <w:b/>
                <w:sz w:val="22"/>
                <w:szCs w:val="22"/>
                <w:lang w:bidi="ar"/>
              </w:rPr>
              <w:t>型号</w:t>
            </w:r>
          </w:p>
        </w:tc>
        <w:tc>
          <w:tcPr>
            <w:tcW w:w="1701" w:type="dxa"/>
            <w:tcBorders>
              <w:top w:val="single" w:color="auto" w:sz="4" w:space="0"/>
              <w:left w:val="nil"/>
              <w:bottom w:val="single" w:color="auto" w:sz="4" w:space="0"/>
              <w:right w:val="single" w:color="auto" w:sz="4" w:space="0"/>
            </w:tcBorders>
            <w:noWrap w:val="0"/>
            <w:vAlign w:val="top"/>
          </w:tcPr>
          <w:p w14:paraId="3B2918AC">
            <w:pPr>
              <w:spacing w:before="100" w:beforeAutospacing="1" w:after="100" w:afterAutospacing="1" w:line="480" w:lineRule="exact"/>
              <w:ind w:left="0" w:right="73" w:rightChars="35"/>
              <w:rPr>
                <w:rFonts w:eastAsia="方正仿宋_GBK" w:cs="Arial"/>
                <w:b/>
                <w:sz w:val="22"/>
                <w:szCs w:val="22"/>
              </w:rPr>
            </w:pPr>
            <w:r>
              <w:rPr>
                <w:rFonts w:hint="eastAsia" w:eastAsia="方正仿宋_GBK" w:cs="Arial"/>
                <w:b/>
                <w:sz w:val="22"/>
                <w:szCs w:val="22"/>
                <w:lang w:bidi="ar"/>
              </w:rPr>
              <w:t>适用</w:t>
            </w:r>
            <w:r>
              <w:rPr>
                <w:rFonts w:eastAsia="方正仿宋_GBK" w:cs="Arial"/>
                <w:b/>
                <w:sz w:val="22"/>
                <w:szCs w:val="22"/>
                <w:lang w:bidi="ar"/>
              </w:rPr>
              <w:t>的包装说明</w:t>
            </w:r>
            <w:r>
              <w:rPr>
                <w:rFonts w:hint="eastAsia" w:eastAsia="方正仿宋_GBK" w:cs="Arial"/>
                <w:b/>
                <w:color w:val="FF0000"/>
                <w:sz w:val="22"/>
                <w:szCs w:val="22"/>
                <w:lang w:eastAsia="zh-CN" w:bidi="ar"/>
              </w:rPr>
              <w:t>（如为</w:t>
            </w:r>
            <w:r>
              <w:rPr>
                <w:rFonts w:hint="eastAsia" w:eastAsia="方正仿宋_GBK" w:cs="Arial"/>
                <w:b/>
                <w:color w:val="FF0000"/>
                <w:sz w:val="22"/>
                <w:szCs w:val="22"/>
                <w:lang w:val="en-US" w:eastAsia="zh-CN" w:bidi="ar"/>
              </w:rPr>
              <w:t>PI966，需注明额定能量和荷电状态</w:t>
            </w:r>
            <w:r>
              <w:rPr>
                <w:rFonts w:hint="eastAsia" w:eastAsia="方正仿宋_GBK" w:cs="Arial"/>
                <w:b/>
                <w:color w:val="FF0000"/>
                <w:sz w:val="22"/>
                <w:szCs w:val="22"/>
                <w:lang w:eastAsia="zh-CN" w:bidi="ar"/>
              </w:rPr>
              <w:t>）</w:t>
            </w:r>
          </w:p>
        </w:tc>
        <w:tc>
          <w:tcPr>
            <w:tcW w:w="1275" w:type="dxa"/>
            <w:tcBorders>
              <w:top w:val="single" w:color="auto" w:sz="4" w:space="0"/>
              <w:left w:val="nil"/>
              <w:bottom w:val="single" w:color="auto" w:sz="4" w:space="0"/>
              <w:right w:val="single" w:color="auto" w:sz="4" w:space="0"/>
            </w:tcBorders>
            <w:noWrap w:val="0"/>
            <w:vAlign w:val="top"/>
          </w:tcPr>
          <w:p w14:paraId="41E2B3E7">
            <w:pPr>
              <w:spacing w:before="100" w:beforeAutospacing="1" w:after="100" w:afterAutospacing="1" w:line="480" w:lineRule="exact"/>
              <w:ind w:left="0" w:right="73" w:rightChars="35"/>
              <w:rPr>
                <w:rFonts w:eastAsia="方正仿宋_GBK" w:cs="Arial"/>
                <w:b/>
                <w:sz w:val="22"/>
                <w:szCs w:val="22"/>
              </w:rPr>
            </w:pPr>
            <w:r>
              <w:rPr>
                <w:rFonts w:hint="eastAsia" w:eastAsia="方正仿宋_GBK" w:cs="Arial"/>
                <w:b/>
                <w:sz w:val="22"/>
                <w:szCs w:val="22"/>
                <w:lang w:bidi="ar"/>
              </w:rPr>
              <w:t>设备名称</w:t>
            </w:r>
            <w:r>
              <w:rPr>
                <w:rFonts w:eastAsia="方正仿宋_GBK" w:cs="Arial"/>
                <w:b/>
                <w:sz w:val="22"/>
                <w:szCs w:val="22"/>
                <w:lang w:bidi="ar"/>
              </w:rPr>
              <w:t>及型号</w:t>
            </w:r>
            <w:r>
              <w:rPr>
                <w:rFonts w:hint="eastAsia" w:eastAsia="方正仿宋_GBK" w:cs="Arial"/>
                <w:b/>
                <w:sz w:val="22"/>
                <w:szCs w:val="22"/>
                <w:lang w:bidi="ar"/>
              </w:rPr>
              <w:t>（如适用）</w:t>
            </w:r>
          </w:p>
        </w:tc>
        <w:tc>
          <w:tcPr>
            <w:tcW w:w="1276" w:type="dxa"/>
            <w:tcBorders>
              <w:top w:val="single" w:color="auto" w:sz="4" w:space="0"/>
              <w:left w:val="nil"/>
              <w:bottom w:val="single" w:color="auto" w:sz="4" w:space="0"/>
              <w:right w:val="single" w:color="auto" w:sz="4" w:space="0"/>
            </w:tcBorders>
            <w:noWrap w:val="0"/>
            <w:vAlign w:val="top"/>
          </w:tcPr>
          <w:p w14:paraId="510BFF68">
            <w:pPr>
              <w:spacing w:before="100" w:beforeAutospacing="1" w:after="100" w:afterAutospacing="1" w:line="480" w:lineRule="exact"/>
              <w:ind w:left="0" w:right="73" w:rightChars="35"/>
              <w:rPr>
                <w:rFonts w:eastAsia="方正仿宋_GBK" w:cs="Arial"/>
                <w:b/>
                <w:sz w:val="22"/>
                <w:szCs w:val="22"/>
                <w:lang w:bidi="ar"/>
              </w:rPr>
            </w:pPr>
            <w:r>
              <w:rPr>
                <w:rFonts w:hint="eastAsia" w:eastAsia="方正仿宋_GBK" w:cs="Arial"/>
                <w:b/>
                <w:sz w:val="22"/>
                <w:szCs w:val="22"/>
                <w:lang w:bidi="ar"/>
              </w:rPr>
              <w:t>鉴定报告/UN38.3测试报告编号</w:t>
            </w:r>
          </w:p>
        </w:tc>
        <w:tc>
          <w:tcPr>
            <w:tcW w:w="1276" w:type="dxa"/>
            <w:tcBorders>
              <w:top w:val="single" w:color="auto" w:sz="4" w:space="0"/>
              <w:left w:val="nil"/>
              <w:bottom w:val="single" w:color="auto" w:sz="4" w:space="0"/>
              <w:right w:val="single" w:color="auto" w:sz="4" w:space="0"/>
            </w:tcBorders>
            <w:noWrap w:val="0"/>
            <w:vAlign w:val="top"/>
          </w:tcPr>
          <w:p w14:paraId="58AE09DE">
            <w:pPr>
              <w:spacing w:before="100" w:beforeAutospacing="1" w:after="100" w:afterAutospacing="1" w:line="480" w:lineRule="exact"/>
              <w:ind w:left="0" w:right="73" w:rightChars="35"/>
              <w:rPr>
                <w:rFonts w:eastAsia="方正仿宋_GBK" w:cs="Arial"/>
                <w:b/>
                <w:sz w:val="22"/>
                <w:szCs w:val="22"/>
                <w:lang w:bidi="ar"/>
              </w:rPr>
            </w:pPr>
            <w:r>
              <w:rPr>
                <w:rFonts w:hint="eastAsia" w:eastAsia="方正仿宋_GBK" w:cs="Arial"/>
                <w:b/>
                <w:sz w:val="22"/>
                <w:szCs w:val="22"/>
                <w:lang w:bidi="ar"/>
              </w:rPr>
              <w:t>1.2米跌落试验报告编号（如适用）</w:t>
            </w:r>
          </w:p>
        </w:tc>
      </w:tr>
      <w:tr w14:paraId="5FF7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Borders>
              <w:top w:val="single" w:color="auto" w:sz="4" w:space="0"/>
              <w:left w:val="single" w:color="auto" w:sz="4" w:space="0"/>
              <w:bottom w:val="single" w:color="auto" w:sz="4" w:space="0"/>
              <w:right w:val="single" w:color="auto" w:sz="4" w:space="0"/>
            </w:tcBorders>
            <w:noWrap w:val="0"/>
            <w:vAlign w:val="top"/>
          </w:tcPr>
          <w:p w14:paraId="1B11DB00">
            <w:pPr>
              <w:spacing w:before="100" w:beforeAutospacing="1" w:after="100" w:afterAutospacing="1" w:line="480" w:lineRule="exact"/>
              <w:ind w:left="0" w:right="73" w:rightChars="35"/>
              <w:rPr>
                <w:rFonts w:eastAsia="方正仿宋_GBK" w:cs="Arial"/>
              </w:rPr>
            </w:pPr>
          </w:p>
        </w:tc>
        <w:tc>
          <w:tcPr>
            <w:tcW w:w="1276" w:type="dxa"/>
            <w:tcBorders>
              <w:top w:val="single" w:color="auto" w:sz="4" w:space="0"/>
              <w:left w:val="nil"/>
              <w:bottom w:val="single" w:color="auto" w:sz="4" w:space="0"/>
              <w:right w:val="single" w:color="auto" w:sz="4" w:space="0"/>
            </w:tcBorders>
            <w:noWrap w:val="0"/>
            <w:vAlign w:val="top"/>
          </w:tcPr>
          <w:p w14:paraId="3488CF14">
            <w:pPr>
              <w:spacing w:before="100" w:beforeAutospacing="1" w:after="100" w:afterAutospacing="1" w:line="480" w:lineRule="exact"/>
              <w:ind w:left="0" w:right="73" w:rightChars="35"/>
              <w:rPr>
                <w:rFonts w:eastAsia="方正仿宋_GBK" w:cs="Arial"/>
              </w:rPr>
            </w:pPr>
          </w:p>
        </w:tc>
        <w:tc>
          <w:tcPr>
            <w:tcW w:w="1701" w:type="dxa"/>
            <w:tcBorders>
              <w:top w:val="single" w:color="auto" w:sz="4" w:space="0"/>
              <w:left w:val="nil"/>
              <w:bottom w:val="single" w:color="auto" w:sz="4" w:space="0"/>
              <w:right w:val="single" w:color="auto" w:sz="4" w:space="0"/>
            </w:tcBorders>
            <w:noWrap w:val="0"/>
            <w:vAlign w:val="top"/>
          </w:tcPr>
          <w:p w14:paraId="68E9A350">
            <w:pPr>
              <w:spacing w:before="100" w:beforeAutospacing="1" w:after="100" w:afterAutospacing="1" w:line="480" w:lineRule="exact"/>
              <w:ind w:left="0" w:right="73" w:rightChars="35"/>
              <w:rPr>
                <w:rFonts w:eastAsia="方正仿宋_GBK" w:cs="Arial"/>
              </w:rPr>
            </w:pPr>
          </w:p>
        </w:tc>
        <w:tc>
          <w:tcPr>
            <w:tcW w:w="1275" w:type="dxa"/>
            <w:tcBorders>
              <w:top w:val="single" w:color="auto" w:sz="4" w:space="0"/>
              <w:left w:val="nil"/>
              <w:bottom w:val="single" w:color="auto" w:sz="4" w:space="0"/>
              <w:right w:val="single" w:color="auto" w:sz="4" w:space="0"/>
            </w:tcBorders>
            <w:noWrap w:val="0"/>
            <w:vAlign w:val="top"/>
          </w:tcPr>
          <w:p w14:paraId="04F292AD">
            <w:pPr>
              <w:spacing w:before="100" w:beforeAutospacing="1" w:after="100" w:afterAutospacing="1" w:line="480" w:lineRule="exact"/>
              <w:ind w:left="0" w:right="73" w:rightChars="35"/>
              <w:rPr>
                <w:rFonts w:eastAsia="方正仿宋_GBK" w:cs="Arial"/>
              </w:rPr>
            </w:pPr>
          </w:p>
        </w:tc>
        <w:tc>
          <w:tcPr>
            <w:tcW w:w="1276" w:type="dxa"/>
            <w:tcBorders>
              <w:top w:val="single" w:color="auto" w:sz="4" w:space="0"/>
              <w:left w:val="nil"/>
              <w:bottom w:val="single" w:color="auto" w:sz="4" w:space="0"/>
              <w:right w:val="single" w:color="auto" w:sz="4" w:space="0"/>
            </w:tcBorders>
            <w:noWrap w:val="0"/>
            <w:vAlign w:val="top"/>
          </w:tcPr>
          <w:p w14:paraId="042D7F2E">
            <w:pPr>
              <w:spacing w:before="100" w:beforeAutospacing="1" w:after="100" w:afterAutospacing="1" w:line="480" w:lineRule="exact"/>
              <w:ind w:left="0" w:right="73" w:rightChars="35"/>
              <w:rPr>
                <w:rFonts w:eastAsia="方正仿宋_GBK" w:cs="Arial"/>
              </w:rPr>
            </w:pPr>
          </w:p>
        </w:tc>
        <w:tc>
          <w:tcPr>
            <w:tcW w:w="1276" w:type="dxa"/>
            <w:tcBorders>
              <w:top w:val="single" w:color="auto" w:sz="4" w:space="0"/>
              <w:left w:val="nil"/>
              <w:bottom w:val="single" w:color="auto" w:sz="4" w:space="0"/>
              <w:right w:val="single" w:color="auto" w:sz="4" w:space="0"/>
            </w:tcBorders>
            <w:noWrap w:val="0"/>
            <w:vAlign w:val="top"/>
          </w:tcPr>
          <w:p w14:paraId="0F14B314">
            <w:pPr>
              <w:spacing w:before="100" w:beforeAutospacing="1" w:after="100" w:afterAutospacing="1" w:line="480" w:lineRule="exact"/>
              <w:ind w:left="0" w:right="73" w:rightChars="35"/>
              <w:rPr>
                <w:rFonts w:eastAsia="方正仿宋_GBK" w:cs="Arial"/>
              </w:rPr>
            </w:pPr>
          </w:p>
        </w:tc>
      </w:tr>
    </w:tbl>
    <w:p w14:paraId="6F16EE0D">
      <w:pPr>
        <w:spacing w:before="100" w:beforeAutospacing="1" w:after="100" w:afterAutospacing="1" w:line="480" w:lineRule="exact"/>
        <w:ind w:left="-735" w:leftChars="-350" w:right="73" w:rightChars="35" w:firstLine="420" w:firstLineChars="200"/>
        <w:rPr>
          <w:rFonts w:eastAsia="方正仿宋_GBK" w:cs="Arial"/>
          <w:lang w:bidi="ar"/>
        </w:rPr>
      </w:pPr>
      <w:r>
        <w:rPr>
          <w:rFonts w:hint="eastAsia" w:eastAsia="方正仿宋_GBK" w:cs="Arial"/>
          <w:lang w:bidi="ar"/>
        </w:rPr>
        <w:t>（表格中内容可视情况增加）</w:t>
      </w:r>
    </w:p>
    <w:p w14:paraId="177BA59D">
      <w:pPr>
        <w:spacing w:before="100" w:beforeAutospacing="1" w:after="100" w:afterAutospacing="1" w:line="480" w:lineRule="exact"/>
        <w:ind w:left="0" w:right="73" w:rightChars="35" w:firstLine="420" w:firstLineChars="200"/>
        <w:rPr>
          <w:rFonts w:eastAsia="方正仿宋_GBK" w:cs="Arial"/>
          <w:sz w:val="22"/>
          <w:szCs w:val="22"/>
        </w:rPr>
      </w:pPr>
      <w:r>
        <w:rPr>
          <w:rFonts w:hint="eastAsia" w:eastAsia="方正仿宋_GBK" w:cs="Arial"/>
          <w:lang w:bidi="ar"/>
        </w:rPr>
        <w:t>本人完全了解航空货物运输托运人的法律责任及该类锂电池货物航空运输的各项规定和要求</w:t>
      </w:r>
      <w:r>
        <w:rPr>
          <w:rFonts w:hint="eastAsia" w:eastAsia="方正仿宋_GBK" w:cs="Arial"/>
          <w:color w:val="000000"/>
          <w:lang w:bidi="ar"/>
        </w:rPr>
        <w:t>，并承担因未落实托运人责任导致的相应后果。</w:t>
      </w:r>
      <w:r>
        <w:rPr>
          <w:rFonts w:eastAsia="方正仿宋_GBK" w:cs="Arial"/>
          <w:color w:val="000000"/>
          <w:sz w:val="22"/>
          <w:szCs w:val="22"/>
          <w:lang w:bidi="ar"/>
        </w:rPr>
        <w:t xml:space="preserve"> </w:t>
      </w:r>
    </w:p>
    <w:p w14:paraId="58C25A8A">
      <w:pPr>
        <w:pStyle w:val="2"/>
        <w:ind w:left="0" w:firstLine="420" w:firstLineChars="200"/>
        <w:rPr>
          <w:rFonts w:eastAsia="方正仿宋_GBK" w:cs="Arial"/>
          <w:lang w:bidi="ar"/>
        </w:rPr>
      </w:pPr>
      <w:r>
        <w:rPr>
          <w:rFonts w:hint="eastAsia" w:eastAsia="方正仿宋_GBK" w:cs="Arial"/>
          <w:lang w:bidi="ar"/>
        </w:rPr>
        <w:t xml:space="preserve">                     </w:t>
      </w:r>
      <w:r>
        <w:rPr>
          <w:rFonts w:eastAsia="方正仿宋_GBK" w:cs="Arial"/>
          <w:lang w:bidi="ar"/>
        </w:rPr>
        <w:t>托运人签字：</w:t>
      </w:r>
    </w:p>
    <w:p w14:paraId="624048AB"/>
    <w:p w14:paraId="3890331D"/>
    <w:sectPr>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altName w:val="黑体"/>
    <w:panose1 w:val="02000000000000000000"/>
    <w:charset w:val="86"/>
    <w:family w:val="script"/>
    <w:pitch w:val="default"/>
    <w:sig w:usb0="00000000" w:usb1="00000000" w:usb2="00000012" w:usb3="00000000" w:csb0="00040001" w:csb1="00000000"/>
  </w:font>
  <w:font w:name="方正仿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12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2026-06-11T05:24:17Z</dcterms:created>
  <dc:creator>zhangxin</dc:creator>
  <cp:lastModifiedBy> 阿蜡笔小新鑫</cp:lastModifiedBy>
  <dcterms:modified xsi:type="dcterms:W3CDTF">2026-06-11T05:24:35Z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eyJoZGlkIjoiYjU3OWMzZDMzNDNiOTNkMmE1YjJmMGNjNDJhZjY5OGEiLCJ1c2VySWQiOiI2NDc2NzQ1MTcifQ==</vt:lpwstr>
  </property>
  <property fmtid="{D5CDD505-2E9C-101B-9397-08002B2CF9AE}" pid="4" name="ICV">
    <vt:lpwstr>EA1D871E5D704F2F8A5BD7DC5E48C6AD_12</vt:lpwstr>
  </property>
</Properties>
</file>