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SemEval-2018 Task 9: Hypernym Discovery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Mititelu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Gabriel-Teofil,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Țicloș Olimpia, Sacaci Cosmin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În "Supervised Distributional Hypernym Discovery via Domain Adaptation" de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ătre Luis Espinosa-Anke, Jose Camacho-Collados, Claudio Delli Bovi și Horacio Saggion am putut observa o abordare cu ajutorul unor structuri ierarhice asemanatoare grafurilor.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lobal User Interface" w:hAnsi="Global User Interface" w:cs="Global User Interface" w:eastAsia="Global User Interface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În documentatia echipei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 la SemEval-2018 Task 9: "A Combined Approach for Hypernym Discovery" am vazut o combinare a abordarilor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anterioare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Path-based (pattern-uri)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și Distribuționala . Ca pas preliminar delimiteaza fiecare corpus in -corpus de antrenament si -corpus de testare. Utiliz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ând "short dependency path" au reusit sa reprezinte path-uri similare celor Hearst si altora.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Global User Interface" w:hAnsi="Global User Interface" w:cs="Global User Interface" w:eastAsia="Global User Interface"/>
          <w:color w:val="000000"/>
          <w:spacing w:val="0"/>
          <w:position w:val="0"/>
          <w:sz w:val="21"/>
          <w:shd w:fill="auto" w:val="clear"/>
        </w:rPr>
        <w:tab/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auto" w:val="clear"/>
        </w:rPr>
        <w:t xml:space="preserve">Echipa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SJTU-NLP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din cadru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SemEval-2018 Task 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Neural Hypernym Discovery with Term Embeddings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" au creat un sistem din doua parti: :"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Term Embedding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" si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Hypernym Relationship Learning". Folosind Glove toolkit au antrenat incorporarile de cuvinte(the word embeddings) cu corpusul UMBC, putand fi transformat ulterior in sense embedding induse via clustering de ego-networks ale cuvintelor asociate.</w:t>
      </w:r>
    </w:p>
    <w:p>
      <w:pPr>
        <w:spacing w:before="0" w:after="0" w:line="240"/>
        <w:ind w:right="0" w:left="0" w:firstLine="0"/>
        <w:jc w:val="left"/>
        <w:rPr>
          <w:rFonts w:ascii="Global User Interface" w:hAnsi="Global User Interface" w:cs="Global User Interface" w:eastAsia="Global User Interface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lobal User Interface" w:hAnsi="Global User Interface" w:cs="Global User Interface" w:eastAsia="Global User Interface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Echipa </w:t>
      </w:r>
      <w:r>
        <w:rPr>
          <w:rFonts w:ascii="Global User Interface" w:hAnsi="Global User Interface" w:cs="Global User Interface" w:eastAsia="Global User Interface"/>
          <w:b/>
          <w:color w:val="000000"/>
          <w:spacing w:val="0"/>
          <w:position w:val="0"/>
          <w:sz w:val="21"/>
          <w:shd w:fill="auto" w:val="clear"/>
        </w:rPr>
        <w:t xml:space="preserve">Apollo</w:t>
      </w:r>
      <w:r>
        <w:rPr>
          <w:rFonts w:ascii="Global User Interface" w:hAnsi="Global User Interface" w:cs="Global User Interface" w:eastAsia="Global User Interface"/>
          <w:color w:val="000000"/>
          <w:spacing w:val="0"/>
          <w:position w:val="0"/>
          <w:sz w:val="21"/>
          <w:shd w:fill="auto" w:val="clear"/>
        </w:rPr>
        <w:t xml:space="preserve"> din cadrul SemEval-2018 Task 9: Detecting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Global User Interface" w:hAnsi="Global User Interface" w:cs="Global User Interface" w:eastAsia="Global User Interface"/>
          <w:color w:val="000000"/>
          <w:spacing w:val="0"/>
          <w:position w:val="0"/>
          <w:sz w:val="21"/>
          <w:shd w:fill="auto" w:val="clear"/>
        </w:rPr>
        <w:t xml:space="preserve">Hypernymy Relations Using Syntactic Dependencies a ales sa foloseasca o abordare bazate pe reguli si pentru a extrage pattern-urile corespunzatoare au folosit realtii de dependenta sintactica (Universal Dependencies Parser). Detectarea de hypernyms se realizeaza in urma a trei etape: 1. Tokenization: delimitarea propozitiilor si separarea semnelor de punctuatie de cuvinte, 2. Part-Of-Speech tagging: un insemn POS sau clasa lexicala fiecarui cuvant din corpus, 3. Depdency parsing: procesarea syntactica a propozitiei ce consta in gasirea structurii sintactice corecte intr-o gramatica.</w:t>
      </w:r>
    </w:p>
    <w:p>
      <w:pPr>
        <w:spacing w:before="0" w:after="0" w:line="240"/>
        <w:ind w:right="0" w:left="0" w:firstLine="0"/>
        <w:jc w:val="left"/>
        <w:rPr>
          <w:rFonts w:ascii="Global User Interface" w:hAnsi="Global User Interface" w:cs="Global User Interface" w:eastAsia="Global User Interface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