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"https://www.kesci.com/home/dataset/5bbde6233631bc00109c3704/document"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https://www.kesci.com/home/dataset/5bbde6233631bc00109c3704/document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b/>
          <w:sz w:val="30"/>
          <w:szCs w:val="30"/>
        </w:rPr>
      </w:pPr>
      <w:bookmarkStart w:id="0" w:name="_GoBack"/>
      <w:bookmarkEnd w:id="0"/>
      <w:r>
        <w:rPr>
          <w:b/>
          <w:i w:val="0"/>
          <w:caps w:val="0"/>
          <w:color w:val="333333"/>
          <w:spacing w:val="0"/>
          <w:sz w:val="30"/>
          <w:szCs w:val="30"/>
          <w:bdr w:val="single" w:color="298DFF" w:sz="24" w:space="0"/>
          <w:shd w:val="clear" w:fill="FFFFFF"/>
        </w:rPr>
        <w:t>数据集文档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背景描述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333333"/>
          <w:bdr w:val="none" w:color="auto" w:sz="0" w:space="0"/>
        </w:rPr>
        <w:t>根据WHO统计，世界上每年有近1700万人死于心血管疾病，如何快速、有效地对心脏病进行诊断始终是生命科学领域研究的重点问题之一，随着机器学习技术的兴起，其在医疗领域的应用已经越来越广泛，2018年全球人工智能应用大赛（南京）设置了智能医疗项目，其中就包含了“实时监测心血管疾病的智能算法”。本数据集包含了来自克利夫兰医学中心的270个病人实例数据，用户可基于此建立心脏病诊断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数据说明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270" w:afterAutospacing="0" w:line="30" w:lineRule="atLeast"/>
        <w:ind w:left="0" w:right="0"/>
      </w:pPr>
      <w:r>
        <w:rPr>
          <w:rStyle w:val="7"/>
          <w:b/>
          <w:color w:val="333333"/>
          <w:bdr w:val="none" w:color="auto" w:sz="0" w:space="0"/>
        </w:rPr>
        <w:t>文件列表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心脏病诊断数据集（原数据）.csv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心脏病诊断数据集（归一化处理）.csv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心脏病诊断数据集（标准化处理）.csv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270" w:afterAutospacing="0" w:line="30" w:lineRule="atLeast"/>
        <w:ind w:left="0" w:right="0"/>
      </w:pPr>
      <w:r>
        <w:rPr>
          <w:rStyle w:val="7"/>
          <w:b/>
          <w:color w:val="333333"/>
          <w:bdr w:val="none" w:color="auto" w:sz="0" w:space="0"/>
        </w:rPr>
        <w:t>数据集整体特征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333333"/>
          <w:bdr w:val="none" w:color="auto" w:sz="0" w:space="0"/>
        </w:rPr>
        <w:drawing>
          <wp:inline distT="0" distB="0" distL="114300" distR="114300">
            <wp:extent cx="5992495" cy="593090"/>
            <wp:effectExtent l="0" t="0" r="825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  <w:r>
        <w:rPr>
          <w:rStyle w:val="7"/>
          <w:b/>
          <w:color w:val="333333"/>
          <w:bdr w:val="none" w:color="auto" w:sz="0" w:space="0"/>
        </w:rPr>
        <w:t>属性描述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333333"/>
          <w:bdr w:val="none" w:color="auto" w:sz="0" w:space="0"/>
        </w:rPr>
        <w:drawing>
          <wp:inline distT="0" distB="0" distL="114300" distR="114300">
            <wp:extent cx="5782310" cy="3313430"/>
            <wp:effectExtent l="0" t="0" r="8890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数据分析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  <w:r>
        <w:rPr>
          <w:rStyle w:val="7"/>
          <w:b/>
          <w:color w:val="333333"/>
          <w:bdr w:val="none" w:color="auto" w:sz="0" w:space="0"/>
        </w:rPr>
        <w:t>数据可视化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选取经过标准化处理后的数据进行可视化，此处选取前六个属性共100例数据，如下所示：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333333"/>
          <w:bdr w:val="none" w:color="auto" w:sz="0" w:space="0"/>
        </w:rPr>
        <w:drawing>
          <wp:inline distT="0" distB="0" distL="114300" distR="114300">
            <wp:extent cx="5819775" cy="42291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rStyle w:val="7"/>
          <w:b/>
          <w:color w:val="333333"/>
          <w:bdr w:val="none" w:color="auto" w:sz="0" w:space="0"/>
        </w:rPr>
        <w:t>其中每一条线都代表一个数据实例，可以看到原始数据经标准化处理后呈正态分布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270" w:afterAutospacing="0" w:line="30" w:lineRule="atLeast"/>
        <w:ind w:left="0" w:right="0"/>
      </w:pPr>
      <w:r>
        <w:rPr>
          <w:rStyle w:val="7"/>
          <w:b/>
          <w:color w:val="333333"/>
          <w:bdr w:val="none" w:color="auto" w:sz="0" w:space="0"/>
        </w:rPr>
        <w:t>模型建立参考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从数据的属性进行分析，该数据集属于分类任务数据集，用户可参考建立下列模型：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逻辑回归模型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BP神经网络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LMBP神经网络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RS-LMBP网络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LVQ网络（学习向量量化网络）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hanging="360"/>
      </w:pPr>
      <w:r>
        <w:rPr>
          <w:color w:val="333333"/>
          <w:bdr w:val="none" w:color="auto" w:sz="0" w:space="0"/>
        </w:rPr>
        <w:t>决策树模型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94" w:beforeAutospacing="0" w:after="270" w:afterAutospacing="0" w:line="30" w:lineRule="atLeast"/>
        <w:ind w:left="0" w:right="0"/>
      </w:pPr>
      <w:r>
        <w:rPr>
          <w:rStyle w:val="7"/>
          <w:b/>
          <w:color w:val="333333"/>
          <w:bdr w:val="none" w:color="auto" w:sz="0" w:space="0"/>
        </w:rPr>
        <w:t>模型代码参考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现给出建立BP神经网络的参考程序：</w:t>
      </w:r>
      <w:r>
        <w:rPr>
          <w:color w:val="333333"/>
          <w:bdr w:val="none" w:color="auto" w:sz="0" w:space="0"/>
        </w:rPr>
        <w:br w:type="textWrapping"/>
      </w:r>
      <w:r>
        <w:rPr>
          <w:color w:val="298DFF"/>
          <w:u w:val="none"/>
          <w:bdr w:val="none" w:color="auto" w:sz="0" w:space="0"/>
        </w:rPr>
        <w:fldChar w:fldCharType="begin"/>
      </w:r>
      <w:r>
        <w:rPr>
          <w:color w:val="298DFF"/>
          <w:u w:val="none"/>
          <w:bdr w:val="none" w:color="auto" w:sz="0" w:space="0"/>
        </w:rPr>
        <w:instrText xml:space="preserve"> HYPERLINK "https://www.kesci.com/home/project/5beeac41954d6e001064e724" </w:instrText>
      </w:r>
      <w:r>
        <w:rPr>
          <w:color w:val="298DFF"/>
          <w:u w:val="none"/>
          <w:bdr w:val="none" w:color="auto" w:sz="0" w:space="0"/>
        </w:rPr>
        <w:fldChar w:fldCharType="separate"/>
      </w:r>
      <w:r>
        <w:rPr>
          <w:rStyle w:val="8"/>
          <w:color w:val="298DFF"/>
          <w:u w:val="none"/>
          <w:bdr w:val="none" w:color="auto" w:sz="0" w:space="0"/>
        </w:rPr>
        <w:t>点击查看模型代码</w:t>
      </w:r>
      <w:r>
        <w:rPr>
          <w:color w:val="298DFF"/>
          <w:u w:val="none"/>
          <w:bdr w:val="none" w:color="auto" w:sz="0" w:space="0"/>
        </w:rPr>
        <w:fldChar w:fldCharType="end"/>
      </w:r>
      <w:r>
        <w:rPr>
          <w:color w:val="333333"/>
          <w:bdr w:val="none" w:color="auto" w:sz="0" w:space="0"/>
        </w:rPr>
        <w:br w:type="textWrapping"/>
      </w:r>
      <w:r>
        <w:rPr>
          <w:rStyle w:val="7"/>
          <w:b/>
          <w:color w:val="333333"/>
          <w:bdr w:val="none" w:color="auto" w:sz="0" w:space="0"/>
        </w:rPr>
        <w:t>使用Tensorboard进行可视化，得到计算图如下：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333333"/>
          <w:bdr w:val="none" w:color="auto" w:sz="0" w:space="0"/>
        </w:rPr>
        <w:drawing>
          <wp:inline distT="0" distB="0" distL="114300" distR="114300">
            <wp:extent cx="4925695" cy="4109085"/>
            <wp:effectExtent l="0" t="0" r="8255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数据使用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298DFF"/>
          <w:u w:val="none"/>
          <w:bdr w:val="none" w:color="auto" w:sz="0" w:space="0"/>
        </w:rPr>
        <w:fldChar w:fldCharType="begin"/>
      </w:r>
      <w:r>
        <w:rPr>
          <w:color w:val="298DFF"/>
          <w:u w:val="none"/>
          <w:bdr w:val="none" w:color="auto" w:sz="0" w:space="0"/>
        </w:rPr>
        <w:instrText xml:space="preserve"> HYPERLINK "https://www.kesci.com/home/project/5beeac41954d6e001064e724" </w:instrText>
      </w:r>
      <w:r>
        <w:rPr>
          <w:color w:val="298DFF"/>
          <w:u w:val="none"/>
          <w:bdr w:val="none" w:color="auto" w:sz="0" w:space="0"/>
        </w:rPr>
        <w:fldChar w:fldCharType="separate"/>
      </w:r>
      <w:r>
        <w:rPr>
          <w:rStyle w:val="8"/>
          <w:color w:val="298DFF"/>
          <w:u w:val="none"/>
          <w:bdr w:val="none" w:color="auto" w:sz="0" w:space="0"/>
        </w:rPr>
        <w:t>进入项目查看数据使用代码</w:t>
      </w:r>
      <w:r>
        <w:rPr>
          <w:color w:val="298DFF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数据来源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" w:lineRule="atLeast"/>
        <w:ind w:left="0" w:right="0"/>
      </w:pPr>
      <w:r>
        <w:rPr>
          <w:color w:val="298DFF"/>
          <w:u w:val="none"/>
          <w:bdr w:val="none" w:color="auto" w:sz="0" w:space="0"/>
        </w:rPr>
        <w:fldChar w:fldCharType="begin"/>
      </w:r>
      <w:r>
        <w:rPr>
          <w:color w:val="298DFF"/>
          <w:u w:val="none"/>
          <w:bdr w:val="none" w:color="auto" w:sz="0" w:space="0"/>
        </w:rPr>
        <w:instrText xml:space="preserve"> HYPERLINK "https://my.clevelandclinic.org/" </w:instrText>
      </w:r>
      <w:r>
        <w:rPr>
          <w:color w:val="298DFF"/>
          <w:u w:val="none"/>
          <w:bdr w:val="none" w:color="auto" w:sz="0" w:space="0"/>
        </w:rPr>
        <w:fldChar w:fldCharType="separate"/>
      </w:r>
      <w:r>
        <w:rPr>
          <w:rStyle w:val="8"/>
          <w:color w:val="298DFF"/>
          <w:u w:val="none"/>
          <w:bdr w:val="none" w:color="auto" w:sz="0" w:space="0"/>
        </w:rPr>
        <w:t>克利夫兰医学研究中心</w:t>
      </w:r>
      <w:r>
        <w:rPr>
          <w:color w:val="298DFF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18" w:lineRule="atLeast"/>
        <w:ind w:left="0" w:right="0"/>
        <w:rPr>
          <w:sz w:val="27"/>
          <w:szCs w:val="27"/>
        </w:rPr>
      </w:pPr>
      <w:r>
        <w:rPr>
          <w:rStyle w:val="7"/>
          <w:b/>
          <w:color w:val="333333"/>
          <w:sz w:val="27"/>
          <w:szCs w:val="27"/>
          <w:bdr w:val="none" w:color="auto" w:sz="0" w:space="0"/>
        </w:rPr>
        <w:t>相关研究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color w:val="333333"/>
          <w:bdr w:val="none" w:color="auto" w:sz="0" w:space="0"/>
        </w:rPr>
        <w:t>[1]郭富强.基于LVQ网络的心脏病智能诊断模型[J].电子设计工程,2014(07):37-40.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[2]徐冬, 陈彩霞. RS-LMBP神经网络在心脏病诊断中的应用研究[J]. 计算机仿真, 2011, 28(2): 236-239.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[3]程颖,崔运涛.基于PCA的决策树算法在心脏病诊断中的应用[J].计算机与数字工程,2009(10):177-180.</w:t>
      </w:r>
      <w:r>
        <w:rPr>
          <w:color w:val="333333"/>
          <w:bdr w:val="none" w:color="auto" w:sz="0" w:space="0"/>
        </w:rPr>
        <w:br w:type="textWrapping"/>
      </w:r>
      <w:r>
        <w:rPr>
          <w:color w:val="333333"/>
          <w:bdr w:val="none" w:color="auto" w:sz="0" w:space="0"/>
        </w:rPr>
        <w:t>[4]徐曼.基于智能融合模型的心脏病急救决策鲁棒性研究[D].天津大学,2011.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C4BB2"/>
    <w:multiLevelType w:val="multilevel"/>
    <w:tmpl w:val="8FDC4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FEEA41"/>
    <w:multiLevelType w:val="multilevel"/>
    <w:tmpl w:val="BFFEE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9F8548"/>
    <w:multiLevelType w:val="multilevel"/>
    <w:tmpl w:val="DF9F8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EFA4D3"/>
    <w:multiLevelType w:val="multilevel"/>
    <w:tmpl w:val="5EEFA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E61C3"/>
    <w:rsid w:val="7FFFDAF8"/>
    <w:rsid w:val="B6BF90AC"/>
    <w:rsid w:val="E3FE61C3"/>
    <w:rsid w:val="E48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2020-05-28T21:51:00Z</dcterms:created>
  <dc:creator>whoami</dc:creator>
  <cp:lastModifiedBy>whoami</cp:lastModifiedBy>
  <dcterms:modified xsi:type="dcterms:W3CDTF">2020-05-28T21:53:13Z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