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00"/>
        <w:jc w:val="center"/>
      </w:pPr>
      <w:r>
        <w:rPr>
          <w:rFonts w:ascii="Times New Roman" w:hAnsi="Times New Roman" w:eastAsia="微软雅黑"/>
          <w:b/>
          <w:color w:val="1F5F67"/>
          <w:sz w:val="48"/>
        </w:rPr>
        <w:t>Crossdating IDM 论文大纲</w:t>
      </w:r>
    </w:p>
    <w:p>
      <w:pPr>
        <w:spacing w:after="80"/>
        <w:jc w:val="center"/>
      </w:pPr>
      <w:r>
        <w:rPr>
          <w:rFonts w:ascii="Times New Roman" w:hAnsi="Times New Roman" w:eastAsia="宋体"/>
          <w:color w:val="68757D"/>
          <w:sz w:val="23"/>
        </w:rPr>
        <w:t>基于 js-diagnosis-events-v1 工作树的中文结构草案</w:t>
      </w:r>
    </w:p>
    <w:p>
      <w:pPr>
        <w:spacing w:after="240"/>
        <w:jc w:val="center"/>
      </w:pPr>
      <w:r>
        <w:rPr>
          <w:rFonts w:ascii="Times New Roman" w:hAnsi="Times New Roman" w:eastAsia="宋体"/>
          <w:b/>
          <w:color w:val="1F2933"/>
          <w:sz w:val="21"/>
        </w:rPr>
        <w:t>拟题：Crossdating IDM：面向树轮事件级交叉定年诊断与可追溯 RWL 编辑的集成桌面工作流</w:t>
      </w:r>
    </w:p>
    <w:p>
      <w:pPr>
        <w:spacing w:after="280"/>
        <w:jc w:val="center"/>
      </w:pPr>
      <w:r>
        <w:rPr>
          <w:rFonts w:ascii="Times New Roman" w:hAnsi="Times New Roman" w:eastAsia="宋体"/>
          <w:color w:val="68757D"/>
          <w:sz w:val="19"/>
        </w:rPr>
        <w:t>结构参考：Bakhtiyorov 等（2026），An integrated workflow App for advanced tree-ring analyses: RWLApp</w:t>
      </w:r>
    </w:p>
    <w:p>
      <w:pPr>
        <w:pStyle w:val="Heading1"/>
        <w:keepNext/>
        <w:keepLines/>
      </w:pPr>
      <w:r>
        <w:t>摘要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树轮交叉定年软件工作流背景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Crossdating IDM 的开发目标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RWL 数据导入、编辑、可视化与格式透明保存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COFECHA 集成与动态参考年表构建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事件级定年建议方法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主要测试数据、性能指标和结果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软件在交叉定年工作流中的应用价值</w:t>
      </w:r>
    </w:p>
    <w:p>
      <w:pPr>
        <w:spacing w:after="160"/>
      </w:pPr>
      <w:r>
        <w:rPr>
          <w:rFonts w:ascii="Times New Roman" w:hAnsi="Times New Roman" w:eastAsia="黑体"/>
          <w:b/>
          <w:color w:val="1F5F67"/>
          <w:sz w:val="21"/>
        </w:rPr>
        <w:t>关键词：</w:t>
      </w:r>
      <w:r>
        <w:rPr>
          <w:rFonts w:ascii="Times New Roman" w:hAnsi="Times New Roman" w:eastAsia="宋体"/>
          <w:color w:val="1F2933"/>
          <w:sz w:val="21"/>
        </w:rPr>
        <w:t>树轮年代学；交叉定年；树轮宽度；RWL；COFECHA；事件识别；定年建议</w:t>
      </w:r>
    </w:p>
    <w:p>
      <w:pPr>
        <w:pStyle w:val="Heading1"/>
        <w:numPr>
          <w:ilvl w:val="0"/>
          <w:numId w:val="10"/>
        </w:numPr>
        <w:keepNext/>
        <w:keepLines/>
      </w:pPr>
      <w:r>
        <w:t>引言</w:t>
      </w:r>
    </w:p>
    <w:p>
      <w:pPr>
        <w:pStyle w:val="Heading2"/>
        <w:numPr>
          <w:ilvl w:val="1"/>
          <w:numId w:val="10"/>
        </w:numPr>
        <w:keepNext/>
        <w:keepLines/>
      </w:pPr>
      <w:r>
        <w:t>树轮交叉定年与质量控制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树轮测量与交叉定年的作用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缺轮、伪轮、局部缺失和整体年代偏移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参考年表与多样芯一致性</w:t>
      </w:r>
    </w:p>
    <w:p>
      <w:pPr>
        <w:pStyle w:val="Heading2"/>
        <w:numPr>
          <w:ilvl w:val="1"/>
          <w:numId w:val="10"/>
        </w:numPr>
        <w:keepNext/>
        <w:keepLines/>
      </w:pPr>
      <w:r>
        <w:t>现有软件与分析工作流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COFECHA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CooRecorder/CDendro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dplR、ARSTAN 及相关工具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RWLApp 及集成式树轮数据处理软件</w:t>
      </w:r>
    </w:p>
    <w:p>
      <w:pPr>
        <w:pStyle w:val="Heading2"/>
        <w:numPr>
          <w:ilvl w:val="1"/>
          <w:numId w:val="10"/>
        </w:numPr>
        <w:keepNext/>
        <w:keepLines/>
      </w:pPr>
      <w:r>
        <w:t>工作流需求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多格式 RWL 数据处理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数据编辑与格式保持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参考年表生成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从异常识别到定年建议的连续流程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操作记录与结果复现</w:t>
      </w:r>
    </w:p>
    <w:p>
      <w:pPr>
        <w:pStyle w:val="Heading2"/>
        <w:numPr>
          <w:ilvl w:val="1"/>
          <w:numId w:val="10"/>
        </w:numPr>
        <w:keepNext/>
        <w:keepLines/>
      </w:pPr>
      <w:r>
        <w:t>研究目标与主要贡献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集成式桌面工作区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COFECHA-linked 动态参考年表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事件级定年建议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单一主复核窗口与年份排序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复杂事件联合识别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可追踪、可撤销的建议应用流程</w:t>
      </w:r>
    </w:p>
    <w:p>
      <w:pPr>
        <w:pStyle w:val="Heading1"/>
        <w:numPr>
          <w:ilvl w:val="0"/>
          <w:numId w:val="10"/>
        </w:numPr>
        <w:keepNext/>
        <w:keepLines/>
      </w:pPr>
      <w:r>
        <w:t>系统概览与架构</w:t>
      </w:r>
    </w:p>
    <w:p>
      <w:pPr>
        <w:pStyle w:val="Heading2"/>
        <w:numPr>
          <w:ilvl w:val="1"/>
          <w:numId w:val="10"/>
        </w:numPr>
        <w:keepNext/>
        <w:keepLines/>
      </w:pPr>
      <w:r>
        <w:t>软件架构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Tauri 桌面层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React 与 TypeScript 前端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Rust 命令与文件系统接口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Web Worker 诊断计算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COFECHA sidecar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工作区持久化</w:t>
      </w:r>
    </w:p>
    <w:p>
      <w:pPr>
        <w:pStyle w:val="Heading2"/>
        <w:numPr>
          <w:ilvl w:val="1"/>
          <w:numId w:val="10"/>
        </w:numPr>
        <w:keepNext/>
        <w:keepLines/>
      </w:pPr>
      <w:r>
        <w:t>核心模块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RWL 导入与格式化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树轮宽度编辑器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树轮数据可视化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参考年表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事件级诊断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COFECHA 执行与报告解析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操作历史与工作区同步</w:t>
      </w:r>
    </w:p>
    <w:p>
      <w:pPr>
        <w:pStyle w:val="Heading2"/>
        <w:numPr>
          <w:ilvl w:val="1"/>
          <w:numId w:val="10"/>
        </w:numPr>
        <w:keepNext/>
        <w:keepLines/>
      </w:pPr>
      <w:r>
        <w:t>数据状态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源 RWL 文件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原始基线数据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工作序列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派生参考年表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诊断事件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已应用操作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COFECHA 输出</w:t>
      </w:r>
    </w:p>
    <w:p>
      <w:pPr>
        <w:pStyle w:val="Heading2"/>
        <w:numPr>
          <w:ilvl w:val="1"/>
          <w:numId w:val="10"/>
        </w:numPr>
        <w:keepNext/>
        <w:keepLines/>
      </w:pPr>
      <w:r>
        <w:t>端到端流程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导入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解析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可视化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构建参考年表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诊断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复核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应用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重新诊断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运行 COFECHA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导出</w:t>
      </w:r>
    </w:p>
    <w:p>
      <w:pPr>
        <w:pStyle w:val="Heading1"/>
        <w:numPr>
          <w:ilvl w:val="0"/>
          <w:numId w:val="10"/>
        </w:numPr>
        <w:keepNext/>
        <w:keepLines/>
      </w:pPr>
      <w:r>
        <w:t>功能工作流</w:t>
      </w:r>
    </w:p>
    <w:p>
      <w:pPr>
        <w:pStyle w:val="Heading2"/>
        <w:numPr>
          <w:ilvl w:val="1"/>
          <w:numId w:val="10"/>
        </w:numPr>
        <w:keepNext/>
        <w:keepLines/>
      </w:pPr>
      <w:r>
        <w:t>RWL 导入与格式透明性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Tucson 短格式与长格式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Compact、CSV、Heidelberg 和 TRiDaS 输入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Stop marker 识别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统一 parse-format 处理器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序列标识符和源格式保持</w:t>
      </w:r>
    </w:p>
    <w:p>
      <w:pPr>
        <w:pStyle w:val="Heading2"/>
        <w:numPr>
          <w:ilvl w:val="1"/>
          <w:numId w:val="10"/>
        </w:numPr>
        <w:keepNext/>
        <w:keepLines/>
      </w:pPr>
      <w:r>
        <w:t>树轮宽度编辑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年轮宽度修改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缺失年份插入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伪轮删除与宽度合并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年份区间移动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序列文本编辑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Undo/redo 与原始基线恢复</w:t>
      </w:r>
    </w:p>
    <w:p>
      <w:pPr>
        <w:pStyle w:val="Heading2"/>
        <w:numPr>
          <w:ilvl w:val="1"/>
          <w:numId w:val="10"/>
        </w:numPr>
        <w:keepNext/>
        <w:keepLines/>
      </w:pPr>
      <w:r>
        <w:t>可视化与样品影像关联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多序列折线图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年轮宽度网格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物理比例树轮截面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缺失年份与显式零值标记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扫描影像索引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十年锚点标注与年份映射</w:t>
      </w:r>
    </w:p>
    <w:p>
      <w:pPr>
        <w:pStyle w:val="Heading2"/>
        <w:numPr>
          <w:ilvl w:val="1"/>
          <w:numId w:val="10"/>
        </w:numPr>
        <w:keepNext/>
        <w:keepLines/>
      </w:pPr>
      <w:r>
        <w:t>参考年表构建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手动参考序列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COFECHA PART 6 样芯分类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anchor_pass 与 candidate_flagged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32 年、50% 响应平滑样条去趋势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raw/spline 年轮指数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AR(p) 预白化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Log transform 与 first difference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按年份合成、sample depth、SD、SE 和 weight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最终标准化年表</w:t>
      </w:r>
    </w:p>
    <w:p>
      <w:pPr>
        <w:pStyle w:val="Heading2"/>
        <w:numPr>
          <w:ilvl w:val="1"/>
          <w:numId w:val="10"/>
        </w:numPr>
        <w:keepNext/>
        <w:keepLines/>
      </w:pPr>
      <w:r>
        <w:t>COFECHA 集成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工作 RWL 导出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COFECHA 运行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VERYCOF.OUT 读取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PART 1、3、6 和 7 解析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问题段定位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OUT 文件镜像保存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COFECHA 结果与工作区绑定</w:t>
      </w:r>
    </w:p>
    <w:p>
      <w:pPr>
        <w:pStyle w:val="Heading1"/>
        <w:numPr>
          <w:ilvl w:val="0"/>
          <w:numId w:val="10"/>
        </w:numPr>
        <w:keepNext/>
        <w:keepLines/>
      </w:pPr>
      <w:r>
        <w:t>事件级定年建议模块</w:t>
      </w:r>
    </w:p>
    <w:p>
      <w:pPr>
        <w:pStyle w:val="Heading2"/>
        <w:numPr>
          <w:ilvl w:val="1"/>
          <w:numId w:val="10"/>
        </w:numPr>
        <w:keepNext/>
        <w:keepLines/>
      </w:pPr>
      <w:r>
        <w:t>任务定义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目标序列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动态参考年表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参考样芯集合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COFECHA 问题段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输出事件类型、位移量、复核窗口和年份排序</w:t>
      </w:r>
    </w:p>
    <w:p>
      <w:pPr>
        <w:pStyle w:val="Heading2"/>
        <w:numPr>
          <w:ilvl w:val="1"/>
          <w:numId w:val="10"/>
        </w:numPr>
        <w:keepNext/>
        <w:keepLines/>
      </w:pPr>
      <w:r>
        <w:t>信号预处理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原始宽度视图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COFECHA 标准化视图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一阶差分视图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预白化视图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多尺度局部窗口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有效重叠与 sample depth 控制</w:t>
      </w:r>
    </w:p>
    <w:p>
      <w:pPr>
        <w:pStyle w:val="Heading2"/>
        <w:numPr>
          <w:ilvl w:val="1"/>
          <w:numId w:val="10"/>
        </w:numPr>
        <w:keepNext/>
        <w:keepLines/>
      </w:pPr>
      <w:r>
        <w:t>全局对齐证据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Baillie-Pilcher-style sliding match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全序列 lag 扫描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当前相关与最佳相关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重叠年份数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全局偏移方向与幅度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树皮侧固定基线估计</w:t>
      </w:r>
    </w:p>
    <w:p>
      <w:pPr>
        <w:pStyle w:val="Heading2"/>
        <w:numPr>
          <w:ilvl w:val="1"/>
          <w:numId w:val="10"/>
        </w:numPr>
        <w:keepNext/>
        <w:keepLines/>
      </w:pPr>
      <w:r>
        <w:t>分段诊断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Holmes/COFECHA-like 重叠分段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A-like 与 B-like 问题段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局部最佳 lag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Fisher-Z 与 t-like 改善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Lag 传播模式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较老侧、较新侧和全序列模式</w:t>
      </w:r>
    </w:p>
    <w:p>
      <w:pPr>
        <w:pStyle w:val="Heading2"/>
        <w:numPr>
          <w:ilvl w:val="1"/>
          <w:numId w:val="10"/>
        </w:numPr>
        <w:keepNext/>
        <w:keepLines/>
      </w:pPr>
      <w:r>
        <w:t>受约束分段 lag 路径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整数 lag 状态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长稳定平台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Viterbi 路径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转移惩罚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Change-point 定位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Lag-before 与 lag-after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单步、阶梯式和多步转移</w:t>
      </w:r>
    </w:p>
    <w:p>
      <w:pPr>
        <w:pStyle w:val="Heading2"/>
        <w:numPr>
          <w:ilvl w:val="1"/>
          <w:numId w:val="10"/>
        </w:numPr>
        <w:keepNext/>
        <w:keepLines/>
      </w:pPr>
      <w:r>
        <w:t>反事实候选生成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虚拟插入缺轮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虚拟删除伪轮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虚拟局部区间移动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虚拟整体序列移动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编辑前后整序列重新诊断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相关增益、问题段消除和 lag 恢复</w:t>
      </w:r>
    </w:p>
    <w:p>
      <w:pPr>
        <w:pStyle w:val="Heading2"/>
        <w:numPr>
          <w:ilvl w:val="1"/>
          <w:numId w:val="10"/>
        </w:numPr>
        <w:keepNext/>
        <w:keepLines/>
      </w:pPr>
      <w:r>
        <w:t>事件定义</w:t>
      </w:r>
    </w:p>
    <w:p>
      <w:pPr>
        <w:pStyle w:val="Heading3"/>
        <w:numPr>
          <w:ilvl w:val="2"/>
          <w:numId w:val="10"/>
        </w:numPr>
        <w:keepNext/>
        <w:keepLines/>
      </w:pPr>
      <w:r>
        <w:t>缺轮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Lag 由较老侧向较新侧减少 1 年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插入缺失年份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显式零值与共享缺轮标记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单缺轮与连续多缺轮阶梯</w:t>
      </w:r>
    </w:p>
    <w:p>
      <w:pPr>
        <w:pStyle w:val="Heading3"/>
        <w:numPr>
          <w:ilvl w:val="2"/>
          <w:numId w:val="10"/>
        </w:numPr>
        <w:keepNext/>
        <w:keepLines/>
      </w:pPr>
      <w:r>
        <w:t>伪轮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Lag 由较老侧向较新侧增加 1 年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删除伪轮年份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局部删年反事实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差分、残差和参考样芯一致性</w:t>
      </w:r>
    </w:p>
    <w:p>
      <w:pPr>
        <w:pStyle w:val="Heading3"/>
        <w:numPr>
          <w:ilvl w:val="2"/>
          <w:numId w:val="10"/>
        </w:numPr>
        <w:keepNext/>
        <w:keepLines/>
      </w:pPr>
      <w:r>
        <w:t>局部移动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局部累计负向 lag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shiftYears = -2 至 -100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firstFixedYear 断点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较老侧年份区间整体移动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腐朽、断裂或局部木质部缺失解释</w:t>
      </w:r>
    </w:p>
    <w:p>
      <w:pPr>
        <w:pStyle w:val="Heading3"/>
        <w:numPr>
          <w:ilvl w:val="2"/>
          <w:numId w:val="10"/>
        </w:numPr>
        <w:keepNext/>
        <w:keepLines/>
      </w:pPr>
      <w:r>
        <w:t>整体移动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全序列稳定非零 lag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整体年代平移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负向移动对应树木死亡、树皮缺失、树皮侧断裂或外侧年份丢失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终端基线与全局 lag 联合确认</w:t>
      </w:r>
    </w:p>
    <w:p>
      <w:pPr>
        <w:pStyle w:val="Heading2"/>
        <w:numPr>
          <w:ilvl w:val="1"/>
          <w:numId w:val="10"/>
        </w:numPr>
        <w:keepNext/>
        <w:keepLines/>
      </w:pPr>
      <w:r>
        <w:t>单位事件定位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约 25 年高召回粗搜索区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逐年插年/删年反事实曲线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Grouped LambdaRank 模式选择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唯一 13 年或 9 年物理模式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物理剖面支持下收窄至 7 年或 5 年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主窗口内 Top1、Top1±1 和 Top3 排序</w:t>
      </w:r>
    </w:p>
    <w:p>
      <w:pPr>
        <w:pStyle w:val="Heading2"/>
        <w:numPr>
          <w:ilvl w:val="1"/>
          <w:numId w:val="10"/>
        </w:numPr>
        <w:keepNext/>
        <w:keepLines/>
      </w:pPr>
      <w:r>
        <w:t>局部移动定位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位移量与断点联合搜索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Raw、difference、prewhitened 和 COFECHA 多视图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逐参考芯 fixed-lag 阶跃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多视图断点聚类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位移量-断点联合命中</w:t>
      </w:r>
    </w:p>
    <w:p>
      <w:pPr>
        <w:pStyle w:val="Heading2"/>
        <w:numPr>
          <w:ilvl w:val="1"/>
          <w:numId w:val="10"/>
        </w:numPr>
        <w:keepNext/>
        <w:keepLines/>
      </w:pPr>
      <w:r>
        <w:t>多样芯证据融合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Master chronology evidence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Individual-core counterfactual evidence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参考芯投票比例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证据集中度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Remote-mode margin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高相关参考芯降权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多参考芯稳健合并</w:t>
      </w:r>
    </w:p>
    <w:p>
      <w:pPr>
        <w:pStyle w:val="Heading2"/>
        <w:numPr>
          <w:ilvl w:val="1"/>
          <w:numId w:val="10"/>
        </w:numPr>
        <w:keepNext/>
        <w:keepLines/>
      </w:pPr>
      <w:r>
        <w:t>复杂事件区分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多个离散缺轮与连续缺段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缺轮与伪轮相邻抵消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整体移动与局部事件共存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整体负向移动与终端缺轮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局部移动与多级缺轮阶梯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远距离事件与近距离事件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多事件 lag 链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已有零值与新注入事件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较新端和较老端边界事件</w:t>
      </w:r>
    </w:p>
    <w:p>
      <w:pPr>
        <w:pStyle w:val="Heading2"/>
        <w:numPr>
          <w:ilvl w:val="1"/>
          <w:numId w:val="10"/>
        </w:numPr>
        <w:keepNext/>
        <w:keepLines/>
      </w:pPr>
      <w:r>
        <w:t>事件集成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候选派生事件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Lag-path events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Dense lag profile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Segmented lag path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Counterfactual locator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Reference voting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Boundary consensus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Operation recovery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事件融合与去重</w:t>
      </w:r>
    </w:p>
    <w:p>
      <w:pPr>
        <w:pStyle w:val="Heading2"/>
        <w:numPr>
          <w:ilvl w:val="1"/>
          <w:numId w:val="10"/>
        </w:numPr>
        <w:keepNext/>
        <w:keepLines/>
      </w:pPr>
      <w:r>
        <w:t>联合事件裁决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完整的 operation × shift × location 假设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Candidate、detected、fused、retained、displayed 和 final 检查点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Presence、operation、location 和 reference 证据账本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跨阶段事件一致性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操作类型裁决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远距离位置模式裁决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单一最终事件输出</w:t>
      </w:r>
    </w:p>
    <w:p>
      <w:pPr>
        <w:pStyle w:val="Heading2"/>
        <w:numPr>
          <w:ilvl w:val="1"/>
          <w:numId w:val="10"/>
        </w:numPr>
        <w:keepNext/>
        <w:keepLines/>
      </w:pPr>
      <w:r>
        <w:t>建议输出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事件类型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主复核窗口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年份排序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位移幅度与方向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编辑前后相关性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Lag 恢复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证据来源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置信等级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操作预览</w:t>
      </w:r>
    </w:p>
    <w:p>
      <w:pPr>
        <w:pStyle w:val="Heading2"/>
        <w:numPr>
          <w:ilvl w:val="1"/>
          <w:numId w:val="10"/>
        </w:numPr>
        <w:keepNext/>
        <w:keepLines/>
      </w:pPr>
      <w:r>
        <w:t>交互式应用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折线图事件背景带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窗口内年份选择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局部移动断点预览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精确影响范围预览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二次确认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写入 RwlEditor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操作日志记录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旧事件失效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基于新工作序列重新诊断</w:t>
      </w:r>
    </w:p>
    <w:p>
      <w:pPr>
        <w:pStyle w:val="Heading2"/>
        <w:numPr>
          <w:ilvl w:val="1"/>
          <w:numId w:val="10"/>
        </w:numPr>
        <w:keepNext/>
        <w:keepLines/>
      </w:pPr>
      <w:r>
        <w:t>全文件诊断导航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当前序列深度诊断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全文件后台广度扫描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COFECHA 标记序列优先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FIFO 复核队列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事件定位与序列跳转</w:t>
      </w:r>
    </w:p>
    <w:p>
      <w:pPr>
        <w:pStyle w:val="Heading1"/>
        <w:numPr>
          <w:ilvl w:val="0"/>
          <w:numId w:val="10"/>
        </w:numPr>
        <w:keepNext/>
        <w:keepLines/>
      </w:pPr>
      <w:r>
        <w:t>实验设计</w:t>
      </w:r>
    </w:p>
    <w:p>
      <w:pPr>
        <w:pStyle w:val="Heading2"/>
        <w:numPr>
          <w:ilvl w:val="1"/>
          <w:numId w:val="10"/>
        </w:numPr>
        <w:keepNext/>
        <w:keepLines/>
      </w:pPr>
      <w:r>
        <w:t>数据来源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ITRDB 交叉定年文件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仓库 RWL 样例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COFECHA 验证样例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合成事件数据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真实问题序列回归案例</w:t>
      </w:r>
    </w:p>
    <w:p>
      <w:pPr>
        <w:pStyle w:val="Heading2"/>
        <w:numPr>
          <w:ilvl w:val="1"/>
          <w:numId w:val="10"/>
        </w:numPr>
        <w:keepNext/>
        <w:keepLines/>
      </w:pPr>
      <w:r>
        <w:t>数据集划分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文件互斥分组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站点互斥分组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校准集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验证集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保留集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Holdout 集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基线干净子集</w:t>
      </w:r>
    </w:p>
    <w:p>
      <w:pPr>
        <w:pStyle w:val="Heading2"/>
        <w:numPr>
          <w:ilvl w:val="1"/>
          <w:numId w:val="10"/>
        </w:numPr>
        <w:keepNext/>
        <w:keepLines/>
      </w:pPr>
      <w:r>
        <w:t>事件注入设计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单缺轮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单伪轮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局部缺段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整体移动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远距离双事件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相邻双事件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三事件组合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已有自然零值场景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序列端点场景</w:t>
      </w:r>
    </w:p>
    <w:p>
      <w:pPr>
        <w:pStyle w:val="Heading2"/>
        <w:numPr>
          <w:ilvl w:val="1"/>
          <w:numId w:val="10"/>
        </w:numPr>
        <w:keepNext/>
        <w:keepLines/>
      </w:pPr>
      <w:r>
        <w:t>评价指标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响应率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拒答率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操作准确率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主窗口覆盖率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已回答案例覆盖率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精确 Top1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Top1±1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Top3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平均倒数排名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局部位移量准确率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位移量与窗口联合恢复率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事件集精确率与召回率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干净序列误报率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窗口宽度分布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运行时间与完成率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保存-重开一致性</w:t>
      </w:r>
    </w:p>
    <w:p>
      <w:pPr>
        <w:pStyle w:val="Heading2"/>
        <w:numPr>
          <w:ilvl w:val="1"/>
          <w:numId w:val="10"/>
        </w:numPr>
        <w:keepNext/>
        <w:keepLines/>
      </w:pPr>
      <w:r>
        <w:t>统计分析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95% 置信区间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文件或站点层级分组 bootstrap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分事件类型统计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分窗口宽度统计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分事件复杂度统计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分序列长度与 sample depth 统计</w:t>
      </w:r>
    </w:p>
    <w:p>
      <w:pPr>
        <w:pStyle w:val="Heading1"/>
        <w:numPr>
          <w:ilvl w:val="0"/>
          <w:numId w:val="10"/>
        </w:numPr>
        <w:keepNext/>
        <w:keepLines/>
      </w:pPr>
      <w:r>
        <w:t>结果</w:t>
      </w:r>
    </w:p>
    <w:p>
      <w:pPr>
        <w:pStyle w:val="Heading2"/>
        <w:numPr>
          <w:ilvl w:val="1"/>
          <w:numId w:val="10"/>
        </w:numPr>
        <w:keepNext/>
        <w:keepLines/>
      </w:pPr>
      <w:r>
        <w:t>单位事件性能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缺轮结果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伪轮结果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5/7/9/13 年窗口分布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主窗口覆盖率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Top1、Top1±1 和 Top3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干净序列误报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填入现有 holdout 测试结果</w:t>
      </w:r>
    </w:p>
    <w:p>
      <w:pPr>
        <w:pStyle w:val="Heading2"/>
        <w:numPr>
          <w:ilvl w:val="1"/>
          <w:numId w:val="10"/>
        </w:numPr>
        <w:keepNext/>
        <w:keepLines/>
      </w:pPr>
      <w:r>
        <w:t>局部移动与整体移动性能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局部移动响应率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位移量准确率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断点窗口覆盖率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联合恢复率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整体序列 lag 恢复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负向终端移动案例</w:t>
      </w:r>
    </w:p>
    <w:p>
      <w:pPr>
        <w:pStyle w:val="Heading2"/>
        <w:numPr>
          <w:ilvl w:val="1"/>
          <w:numId w:val="10"/>
        </w:numPr>
        <w:keepNext/>
        <w:keepLines/>
      </w:pPr>
      <w:r>
        <w:t>复杂事件性能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远距离事件对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近距离事件对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缺轮-伪轮抵消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多缺轮阶梯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整体移动与局部事件组合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三事件混合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精确事件集恢复</w:t>
      </w:r>
    </w:p>
    <w:p>
      <w:pPr>
        <w:pStyle w:val="Heading2"/>
        <w:numPr>
          <w:ilvl w:val="1"/>
          <w:numId w:val="10"/>
        </w:numPr>
        <w:keepNext/>
        <w:keepLines/>
      </w:pPr>
      <w:r>
        <w:t>消融分析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仅全局滑动匹配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分段诊断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Lag-path 模型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反事实扫描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逐参考芯投票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学习型窗口排序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物理剖面细化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联合裁决</w:t>
      </w:r>
    </w:p>
    <w:p>
      <w:pPr>
        <w:pStyle w:val="Heading2"/>
        <w:numPr>
          <w:ilvl w:val="1"/>
          <w:numId w:val="10"/>
        </w:numPr>
        <w:keepNext/>
        <w:keepLines/>
      </w:pPr>
      <w:r>
        <w:t>软件与工作流验证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RWL 解析-保存往返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Tucson 短格式与长格式保持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合法编辑操作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Undo/redo 与原始数据恢复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操作日志完整性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动态参考年表验证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COFECHA 执行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工作区持久化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运行完成率</w:t>
      </w:r>
    </w:p>
    <w:p>
      <w:pPr>
        <w:pStyle w:val="Heading2"/>
        <w:numPr>
          <w:ilvl w:val="1"/>
          <w:numId w:val="10"/>
        </w:numPr>
        <w:keepNext/>
        <w:keepLines/>
      </w:pPr>
      <w:r>
        <w:t>代表性案例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正确定年的干净序列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缺轮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伪轮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局部腐朽或断裂缺段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整体负向移动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缺轮-伪轮相邻事件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多缺轮阶梯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整体序列移动与局部事件共存</w:t>
      </w:r>
    </w:p>
    <w:p>
      <w:pPr>
        <w:pStyle w:val="Heading1"/>
        <w:numPr>
          <w:ilvl w:val="0"/>
          <w:numId w:val="10"/>
        </w:numPr>
        <w:keepNext/>
        <w:keepLines/>
      </w:pPr>
      <w:r>
        <w:t>工作流集成与优势</w:t>
      </w:r>
    </w:p>
    <w:p>
      <w:pPr>
        <w:pStyle w:val="Heading2"/>
        <w:numPr>
          <w:ilvl w:val="1"/>
          <w:numId w:val="10"/>
        </w:numPr>
        <w:keepNext/>
        <w:keepLines/>
      </w:pPr>
      <w:r>
        <w:t>主要内容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从导入到 COFECHA 的连续工作流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格式透明的数据处理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由分段警告推进到事件级诊断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多证据族联合生成建议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紧凑的单主窗口复核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直接可视化预览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可逆编辑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完整操作溯源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动态年表刷新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全文件复核导航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树轮宽度数据与扫描影像联动</w:t>
      </w:r>
    </w:p>
    <w:p>
      <w:pPr>
        <w:pStyle w:val="Heading1"/>
        <w:numPr>
          <w:ilvl w:val="0"/>
          <w:numId w:val="10"/>
        </w:numPr>
        <w:keepNext/>
        <w:keepLines/>
      </w:pPr>
      <w:r>
        <w:t>讨论</w:t>
      </w:r>
    </w:p>
    <w:p>
      <w:pPr>
        <w:pStyle w:val="Heading2"/>
        <w:numPr>
          <w:ilvl w:val="1"/>
          <w:numId w:val="10"/>
        </w:numPr>
        <w:keepNext/>
        <w:keepLines/>
      </w:pPr>
      <w:r>
        <w:t>方法学贡献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从相关性异常到可执行事件建议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Lag-state path 与反事实编辑结合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多参考样芯证据融合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事件类型、位移量和位置联合识别</w:t>
      </w:r>
    </w:p>
    <w:p>
      <w:pPr>
        <w:pStyle w:val="Heading2"/>
        <w:numPr>
          <w:ilvl w:val="1"/>
          <w:numId w:val="10"/>
        </w:numPr>
        <w:keepNext/>
        <w:keepLines/>
      </w:pPr>
      <w:r>
        <w:t>与现有软件比较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COFECHA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dplR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CooRecorder/CDendro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RWLApp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Crossdating IDM 的集成流程与事件级建议</w:t>
      </w:r>
    </w:p>
    <w:p>
      <w:pPr>
        <w:pStyle w:val="Heading2"/>
        <w:numPr>
          <w:ilvl w:val="1"/>
          <w:numId w:val="10"/>
        </w:numPr>
        <w:keepNext/>
        <w:keepLines/>
      </w:pPr>
      <w:r>
        <w:t>生态与样品状态解释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缺轮与生长抑制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伪轮与年内密度变化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局部移动与腐朽、断裂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整体负向移动与死亡、树皮侧缺失及外侧年份丢失</w:t>
      </w:r>
    </w:p>
    <w:p>
      <w:pPr>
        <w:pStyle w:val="Heading2"/>
        <w:numPr>
          <w:ilvl w:val="1"/>
          <w:numId w:val="10"/>
        </w:numPr>
        <w:keepNext/>
        <w:keepLines/>
      </w:pPr>
      <w:r>
        <w:t>应用场景与扩展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活立木样芯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历史木材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腐朽或残缺样品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长序列与低复制区段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多站点和多树种数据</w:t>
      </w:r>
    </w:p>
    <w:p>
      <w:pPr>
        <w:pStyle w:val="Heading1"/>
        <w:numPr>
          <w:ilvl w:val="0"/>
          <w:numId w:val="10"/>
        </w:numPr>
        <w:keepNext/>
        <w:keepLines/>
      </w:pPr>
      <w:r>
        <w:t>结论</w:t>
      </w:r>
    </w:p>
    <w:p>
      <w:pPr>
        <w:pStyle w:val="Heading2"/>
        <w:numPr>
          <w:ilvl w:val="1"/>
          <w:numId w:val="10"/>
        </w:numPr>
        <w:keepNext/>
        <w:keepLines/>
      </w:pPr>
      <w:r>
        <w:t>主要结论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软件集成功能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事件级定年建议能力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复杂事件识别能力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复核效率提升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数据状态与操作过程可追踪</w:t>
      </w:r>
    </w:p>
    <w:p>
      <w:pPr>
        <w:pStyle w:val="Heading1"/>
        <w:numPr>
          <w:ilvl w:val="0"/>
          <w:numId w:val="10"/>
        </w:numPr>
        <w:keepNext/>
        <w:keepLines/>
      </w:pPr>
      <w:r>
        <w:t>数据与软件可用性</w:t>
      </w:r>
    </w:p>
    <w:p>
      <w:pPr>
        <w:pStyle w:val="Heading2"/>
        <w:numPr>
          <w:ilvl w:val="1"/>
          <w:numId w:val="10"/>
        </w:numPr>
        <w:keepNext/>
        <w:keepLines/>
      </w:pPr>
      <w:r>
        <w:t>发布信息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源代码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版本与发布记录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测试数据集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基准清单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复现命令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软件许可证</w:t>
      </w:r>
    </w:p>
    <w:p>
      <w:pPr>
        <w:spacing w:before="0" w:after="50" w:line="276" w:lineRule="auto"/>
        <w:numPr>
          <w:ilvl w:val="0"/>
          <w:numId w:val="11"/>
        </w:numPr>
        <w:keepLines/>
      </w:pPr>
      <w:r>
        <w:rPr>
          <w:rFonts w:ascii="Times New Roman" w:hAnsi="Times New Roman" w:eastAsia="宋体"/>
          <w:color w:val="1F2933"/>
          <w:sz w:val="21"/>
        </w:rPr>
        <w:t>归档 DOI</w:t>
      </w:r>
    </w:p>
    <w:p>
      <w:pPr>
        <w:pStyle w:val="Heading1"/>
        <w:keepNext/>
        <w:keepLines/>
      </w:pPr>
      <w:r>
        <w:t>建议图表</w:t>
      </w:r>
    </w:p>
    <w:p>
      <w:pPr>
        <w:pStyle w:val="Heading2"/>
        <w:keepNext/>
        <w:keepLines/>
      </w:pPr>
      <w:r>
        <w:t>图片</w:t>
      </w:r>
    </w:p>
    <w:p>
      <w:pPr>
        <w:spacing w:before="0" w:after="50" w:line="276" w:lineRule="auto"/>
        <w:numPr>
          <w:ilvl w:val="0"/>
          <w:numId w:val="12"/>
        </w:numPr>
      </w:pPr>
      <w:r>
        <w:rPr>
          <w:rFonts w:ascii="Times New Roman" w:hAnsi="Times New Roman" w:eastAsia="宋体"/>
          <w:color w:val="1F2933"/>
          <w:sz w:val="21"/>
        </w:rPr>
        <w:t>集成式系统架构与工作流程图</w:t>
      </w:r>
    </w:p>
    <w:p>
      <w:pPr>
        <w:spacing w:before="0" w:after="50" w:line="276" w:lineRule="auto"/>
        <w:numPr>
          <w:ilvl w:val="0"/>
          <w:numId w:val="12"/>
        </w:numPr>
      </w:pPr>
      <w:r>
        <w:rPr>
          <w:rFonts w:ascii="Times New Roman" w:hAnsi="Times New Roman" w:eastAsia="宋体"/>
          <w:color w:val="1F2933"/>
          <w:sz w:val="21"/>
        </w:rPr>
        <w:t>事件级定年建议流程图</w:t>
      </w:r>
    </w:p>
    <w:p>
      <w:pPr>
        <w:spacing w:before="0" w:after="50" w:line="276" w:lineRule="auto"/>
        <w:numPr>
          <w:ilvl w:val="0"/>
          <w:numId w:val="12"/>
        </w:numPr>
      </w:pPr>
      <w:r>
        <w:rPr>
          <w:rFonts w:ascii="Times New Roman" w:hAnsi="Times New Roman" w:eastAsia="宋体"/>
          <w:color w:val="1F2933"/>
          <w:sz w:val="21"/>
        </w:rPr>
        <w:t>性能与测试结果组图</w:t>
      </w:r>
    </w:p>
    <w:p>
      <w:pPr>
        <w:spacing w:before="0" w:after="50" w:line="276" w:lineRule="auto"/>
        <w:numPr>
          <w:ilvl w:val="0"/>
          <w:numId w:val="12"/>
        </w:numPr>
      </w:pPr>
      <w:r>
        <w:rPr>
          <w:rFonts w:ascii="Times New Roman" w:hAnsi="Times New Roman" w:eastAsia="宋体"/>
          <w:color w:val="1F2933"/>
          <w:sz w:val="21"/>
        </w:rPr>
        <w:t>复杂交叉定年事件区分图</w:t>
      </w:r>
    </w:p>
    <w:p>
      <w:pPr>
        <w:spacing w:before="0" w:after="50" w:line="276" w:lineRule="auto"/>
        <w:numPr>
          <w:ilvl w:val="0"/>
          <w:numId w:val="12"/>
        </w:numPr>
      </w:pPr>
      <w:r>
        <w:rPr>
          <w:rFonts w:ascii="Times New Roman" w:hAnsi="Times New Roman" w:eastAsia="宋体"/>
          <w:color w:val="1F2933"/>
          <w:sz w:val="21"/>
        </w:rPr>
        <w:t>基准设计、数据划分与事件注入图</w:t>
      </w:r>
    </w:p>
    <w:p>
      <w:pPr>
        <w:spacing w:before="0" w:after="50" w:line="276" w:lineRule="auto"/>
        <w:numPr>
          <w:ilvl w:val="0"/>
          <w:numId w:val="12"/>
        </w:numPr>
      </w:pPr>
      <w:r>
        <w:rPr>
          <w:rFonts w:ascii="Times New Roman" w:hAnsi="Times New Roman" w:eastAsia="宋体"/>
          <w:color w:val="1F2933"/>
          <w:sz w:val="21"/>
        </w:rPr>
        <w:t>代表性诊断与修正案例图</w:t>
      </w:r>
    </w:p>
    <w:p>
      <w:pPr>
        <w:spacing w:before="0" w:after="50" w:line="276" w:lineRule="auto"/>
        <w:numPr>
          <w:ilvl w:val="0"/>
          <w:numId w:val="12"/>
        </w:numPr>
      </w:pPr>
      <w:r>
        <w:rPr>
          <w:rFonts w:ascii="Times New Roman" w:hAnsi="Times New Roman" w:eastAsia="宋体"/>
          <w:color w:val="1F2933"/>
          <w:sz w:val="21"/>
        </w:rPr>
        <w:t>传统交叉定年工作流与集成工作流对比图</w:t>
      </w:r>
    </w:p>
    <w:p>
      <w:pPr>
        <w:spacing w:before="0" w:after="50" w:line="276" w:lineRule="auto"/>
        <w:numPr>
          <w:ilvl w:val="0"/>
          <w:numId w:val="12"/>
        </w:numPr>
      </w:pPr>
      <w:r>
        <w:rPr>
          <w:rFonts w:ascii="Times New Roman" w:hAnsi="Times New Roman" w:eastAsia="宋体"/>
          <w:color w:val="1F2933"/>
          <w:sz w:val="21"/>
        </w:rPr>
        <w:t>软件界面截图（后补）</w:t>
      </w:r>
    </w:p>
    <w:p>
      <w:pPr>
        <w:pStyle w:val="Heading2"/>
        <w:keepNext/>
        <w:keepLines/>
      </w:pPr>
      <w:r>
        <w:t>表格</w:t>
      </w:r>
    </w:p>
    <w:p>
      <w:pPr>
        <w:spacing w:before="0" w:after="50" w:line="276" w:lineRule="auto"/>
        <w:numPr>
          <w:ilvl w:val="0"/>
          <w:numId w:val="13"/>
        </w:numPr>
      </w:pPr>
      <w:r>
        <w:rPr>
          <w:rFonts w:ascii="Times New Roman" w:hAnsi="Times New Roman" w:eastAsia="宋体"/>
          <w:color w:val="1F2933"/>
          <w:sz w:val="21"/>
        </w:rPr>
        <w:t>软件模块、输入、输出与主要功能</w:t>
      </w:r>
    </w:p>
    <w:p>
      <w:pPr>
        <w:spacing w:before="0" w:after="50" w:line="276" w:lineRule="auto"/>
        <w:numPr>
          <w:ilvl w:val="0"/>
          <w:numId w:val="13"/>
        </w:numPr>
      </w:pPr>
      <w:r>
        <w:rPr>
          <w:rFonts w:ascii="Times New Roman" w:hAnsi="Times New Roman" w:eastAsia="宋体"/>
          <w:color w:val="1F2933"/>
          <w:sz w:val="21"/>
        </w:rPr>
        <w:t>事件定义、生态含义、识别信号与编辑操作</w:t>
      </w:r>
    </w:p>
    <w:p>
      <w:pPr>
        <w:spacing w:before="0" w:after="50" w:line="276" w:lineRule="auto"/>
        <w:numPr>
          <w:ilvl w:val="0"/>
          <w:numId w:val="13"/>
        </w:numPr>
      </w:pPr>
      <w:r>
        <w:rPr>
          <w:rFonts w:ascii="Times New Roman" w:hAnsi="Times New Roman" w:eastAsia="宋体"/>
          <w:color w:val="1F2933"/>
          <w:sz w:val="21"/>
        </w:rPr>
        <w:t>诊断证据族及对应算法</w:t>
      </w:r>
    </w:p>
    <w:p>
      <w:pPr>
        <w:spacing w:before="0" w:after="50" w:line="276" w:lineRule="auto"/>
        <w:numPr>
          <w:ilvl w:val="0"/>
          <w:numId w:val="13"/>
        </w:numPr>
      </w:pPr>
      <w:r>
        <w:rPr>
          <w:rFonts w:ascii="Times New Roman" w:hAnsi="Times New Roman" w:eastAsia="宋体"/>
          <w:color w:val="1F2933"/>
          <w:sz w:val="21"/>
        </w:rPr>
        <w:t>验证数据集与事件场景</w:t>
      </w:r>
    </w:p>
    <w:p>
      <w:pPr>
        <w:spacing w:before="0" w:after="50" w:line="276" w:lineRule="auto"/>
        <w:numPr>
          <w:ilvl w:val="0"/>
          <w:numId w:val="13"/>
        </w:numPr>
      </w:pPr>
      <w:r>
        <w:rPr>
          <w:rFonts w:ascii="Times New Roman" w:hAnsi="Times New Roman" w:eastAsia="宋体"/>
          <w:color w:val="1F2933"/>
          <w:sz w:val="21"/>
        </w:rPr>
        <w:t>性能指标与现有测试结果</w:t>
      </w:r>
    </w:p>
    <w:p>
      <w:pPr>
        <w:spacing w:before="0" w:after="50" w:line="276" w:lineRule="auto"/>
        <w:numPr>
          <w:ilvl w:val="0"/>
          <w:numId w:val="13"/>
        </w:numPr>
      </w:pPr>
      <w:r>
        <w:rPr>
          <w:rFonts w:ascii="Times New Roman" w:hAnsi="Times New Roman" w:eastAsia="宋体"/>
          <w:color w:val="1F2933"/>
          <w:sz w:val="21"/>
        </w:rPr>
        <w:t>消融实验结果</w:t>
      </w:r>
    </w:p>
    <w:p>
      <w:pPr>
        <w:spacing w:before="0" w:after="50" w:line="276" w:lineRule="auto"/>
        <w:numPr>
          <w:ilvl w:val="0"/>
          <w:numId w:val="13"/>
        </w:numPr>
      </w:pPr>
      <w:r>
        <w:rPr>
          <w:rFonts w:ascii="Times New Roman" w:hAnsi="Times New Roman" w:eastAsia="宋体"/>
          <w:color w:val="1F2933"/>
          <w:sz w:val="21"/>
        </w:rPr>
        <w:t>代表性复杂事件裁决结果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446" w:bottom="1276" w:left="1446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Times New Roman" w:hAnsi="Times New Roman" w:eastAsia="宋体"/>
        <w:color w:val="68757D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Times New Roman" w:hAnsi="Times New Roman" w:eastAsia="宋体"/>
        <w:color w:val="68757D"/>
        <w:sz w:val="18"/>
      </w:rPr>
      <w:t>Crossdating IDM 论文大纲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0009"/>
    <w:multiLevelType w:val="multilevel"/>
    <w:lvl w:ilvl="0">
      <w:start w:val="1"/>
      <w:numFmt w:val="decimal"/>
      <w:lvlText w:val="%1."/>
      <w:suff w:val="space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%1.%2"/>
      <w:suff w:val="space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Text w:val="%1.%2.%3"/>
      <w:suff w:val="space"/>
      <w:lvlJc w:val="left"/>
      <w:pPr>
        <w:tabs>
          <w:tab w:val="num" w:pos="0"/>
        </w:tabs>
        <w:ind w:left="0" w:hanging="0"/>
      </w:pPr>
    </w:lvl>
  </w:abstractNum>
  <w:abstractNum w:abstractNumId="10">
    <w:nsid w:val="0000000A"/>
    <w:multiLevelType w:val="multilevel"/>
    <w:lvl w:ilvl="0">
      <w:start w:val="1"/>
      <w:numFmt w:val="bullet"/>
      <w:lvlText w:val="•"/>
      <w:suff w:val="space"/>
      <w:lvlJc w:val="left"/>
      <w:pPr>
        <w:tabs>
          <w:tab w:val="num" w:pos="540"/>
        </w:tabs>
        <w:ind w:left="540" w:hanging="270"/>
      </w:pPr>
      <w:rPr>
        <w:rFonts w:ascii="宋体" w:hAnsi="宋体" w:eastAsia="宋体"/>
      </w:rPr>
    </w:lvl>
    <w:lvl w:ilvl="1">
      <w:start w:val="1"/>
      <w:numFmt w:val="bullet"/>
      <w:lvlText w:val="–"/>
      <w:suff w:val="space"/>
      <w:lvlJc w:val="left"/>
      <w:pPr>
        <w:tabs>
          <w:tab w:val="num" w:pos="900"/>
        </w:tabs>
        <w:ind w:left="900" w:hanging="270"/>
      </w:pPr>
      <w:rPr>
        <w:rFonts w:ascii="宋体" w:hAnsi="宋体" w:eastAsia="宋体"/>
      </w:rPr>
    </w:lvl>
  </w:abstractNum>
  <w:abstractNum w:abstractNumId="11">
    <w:nsid w:val="0000000B"/>
    <w:multiLevelType w:val="singleLevel"/>
    <w:lvl w:ilvl="0">
      <w:start w:val="1"/>
      <w:numFmt w:val="decimal"/>
      <w:lvlText w:val="%1."/>
      <w:suff w:val="space"/>
      <w:lvlJc w:val="left"/>
      <w:pPr>
        <w:tabs>
          <w:tab w:val="num" w:pos="540"/>
        </w:tabs>
        <w:ind w:left="540" w:hanging="270"/>
      </w:pPr>
    </w:lvl>
  </w:abstractNum>
  <w:abstractNum w:abstractNumId="12">
    <w:nsid w:val="0000000C"/>
    <w:multiLevelType w:val="singleLevel"/>
    <w:lvl w:ilvl="0">
      <w:start w:val="1"/>
      <w:numFmt w:val="decimal"/>
      <w:lvlText w:val="%1."/>
      <w:suff w:val="space"/>
      <w:lvlJc w:val="left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8" w:lineRule="auto"/>
    </w:pPr>
    <w:rPr>
      <w:rFonts w:ascii="Times New Roman" w:hAnsi="Times New Roman" w:eastAsia="宋体"/>
      <w:b w:val="0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52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5F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2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5F6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 w:line="252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Crossdating IDM 论文大纲（中文）</dc:title>
  <dc:subject>基于 js-diagnosis-events-v1 工作树的树轮交叉定年软件论文大纲</dc:subject>
  <dc:creator/>
  <cp:keywords>树轮年代学, 交叉定年, RWL, COFECHA, 定年建议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