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A5F"/>
          <w:sz w:val="48"/>
          <w:szCs w:val="48"/>
        </w:rPr>
        <w:t xml:space="preserve">TRADER’S CUP 2026</w:t>
      </w:r>
    </w:p>
    <w:p>
      <w:pPr>
        <w:spacing w:after="240"/>
      </w:pPr>
      <w:r>
        <w:rPr>
          <w:color w:val="555555"/>
          <w:sz w:val="26"/>
          <w:szCs w:val="26"/>
        </w:rPr>
        <w:t xml:space="preserve">Multi-Market Volume Competition — Project Brief</w:t>
      </w:r>
    </w:p>
    <w:p>
      <w:pPr>
        <w:pBdr>
          <w:bottom w:val="single" w:color="1F3A5F" w:sz="8" w:space="1"/>
        </w:pBd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Field</w:t>
            </w:r>
          </w:p>
        </w:tc>
        <w:tc>
          <w:tcPr>
            <w:tcW w:type="dxa" w:w="6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Detail</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Prepared</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14 May 2026</w:t>
            </w:r>
          </w:p>
        </w:tc>
      </w:tr>
      <w:tr>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Competition window</w:t>
            </w:r>
          </w:p>
        </w:tc>
        <w:tc>
          <w:tcPr>
            <w:tcW w:type="dxa" w:w="69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1 June – 19 July 2026 (covering the full FIFA World Cup)</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Markets</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AR UAE, AR GCC (Kuwait, Qatar, Oman, Bahrain), BT Thailand, BT Japan, BT Malaysia, WB&amp;S Portuguese</w:t>
            </w:r>
          </w:p>
        </w:tc>
      </w:tr>
      <w:tr>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Platforms &amp; Brokers</w:t>
            </w:r>
          </w:p>
        </w:tc>
        <w:tc>
          <w:tcPr>
            <w:tcW w:type="dxa" w:w="69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BrainTrade (online trading academy / platform — users connect a partner broker to deposit and trade inside BT), Warren Bowie &amp; Smith (broker), 200Invest (broker)</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Primary goal</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Lift First-Time Deposits (FTDs) in underperforming markets</w:t>
            </w:r>
          </w:p>
        </w:tc>
      </w:tr>
      <w:tr>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Status</w:t>
            </w:r>
          </w:p>
        </w:tc>
        <w:tc>
          <w:tcPr>
            <w:tcW w:type="dxa" w:w="69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Final brief — team kickoff</w:t>
            </w:r>
          </w:p>
        </w:tc>
      </w:tr>
    </w:tbl>
    <w:p>
      <w:pPr>
        <w:spacing w:after="120"/>
      </w:pPr>
      <w:r>
        <w:t xml:space="preserve"/>
      </w:r>
    </w:p>
    <w:p>
      <w:pPr>
        <w:pStyle w:val="Heading1"/>
      </w:pPr>
      <w:r>
        <w:rPr>
          <w:color w:val="1F3A5F"/>
        </w:rPr>
        <w:t xml:space="preserve">1. Executive Summary</w:t>
      </w:r>
    </w:p>
    <w:p>
      <w:pPr>
        <w:spacing w:after="140"/>
      </w:pPr>
      <w:r>
        <w:t xml:space="preserve">Trader’s Cup 2026 is the internal codename for a seven-week deposit-and-trading-volume competition running 1 June – 19 July 2026 across six markets and three brand properties. The window covers the full FIFA World Cup 2026 (group stage through the final on 19 July). The objective is to lift First-Time Deposits (FTDs) in underperforming markets across the entire tournament window. A pre-launch warm-up runs 25–31 May; deposits during this period count toward tier qualification on day one of the competition.</w:t>
      </w:r>
    </w:p>
    <w:p>
      <w:pPr>
        <w:spacing w:after="140"/>
      </w:pPr>
      <w:r>
        <w:rPr>
          <w:b/>
          <w:bCs/>
        </w:rPr>
        <w:t xml:space="preserve">Each brand runs its own named competition, football-themed with the brand name built in: </w:t>
      </w:r>
      <w:r>
        <w:t xml:space="preserve">BrainTrade </w:t>
      </w:r>
      <w:r>
        <w:rPr>
          <w:i/>
          <w:iCs/>
        </w:rPr>
        <w:t xml:space="preserve">Champions Cup</w:t>
      </w:r>
      <w:r>
        <w:t xml:space="preserve">, </w:t>
      </w:r>
      <w:r>
        <w:rPr>
          <w:i/>
          <w:iCs/>
        </w:rPr>
        <w:t xml:space="preserve">WB&amp;S Premier Trophy</w:t>
      </w:r>
      <w:r>
        <w:t xml:space="preserve">, and </w:t>
      </w:r>
      <w:r>
        <w:rPr>
          <w:i/>
          <w:iCs/>
        </w:rPr>
        <w:t xml:space="preserve">200Invest Falcons Cup</w:t>
      </w:r>
      <w:r>
        <w:t xml:space="preserve">. </w:t>
      </w:r>
      <w:r>
        <w:rPr>
          <w:b/>
          <w:bCs/>
        </w:rPr>
        <w:t xml:space="preserve">There is no cross-brand creative reuse — each brand gets its own competition name, visual identity, copy voice, prize architecture, and tier badge design.</w:t>
      </w:r>
    </w:p>
    <w:p>
      <w:pPr>
        <w:spacing w:after="140"/>
      </w:pPr>
      <w:r>
        <w:t xml:space="preserve">All three competitions share one mechanic: </w:t>
      </w:r>
      <w:r>
        <w:rPr>
          <w:b/>
          <w:bCs/>
        </w:rPr>
        <w:t xml:space="preserve">total deposit determines tier; trading volume within tier determines rank.</w:t>
      </w:r>
      <w:r>
        <w:t xml:space="preserve"> Universal tier structure (Tier 1 / Tier 2 / Tier 3) is implemented under each brand’s own tier names. Each runs a localized per-market leaderboard with masked display names or opt-in trader handles. All three are framed as </w:t>
      </w:r>
      <w:r>
        <w:rPr>
          <w:b/>
          <w:bCs/>
        </w:rPr>
        <w:t xml:space="preserve">trading volume competitions with deposit-based tier qualification — not deposit promotions</w:t>
      </w:r>
      <w:r>
        <w:t xml:space="preserve">. This framing is critical for compliance across all six jurisdictions.</w:t>
      </w:r>
    </w:p>
    <w:p>
      <w:pPr>
        <w:spacing w:after="140"/>
      </w:pPr>
      <w:r>
        <w:rPr>
          <w:b/>
          <w:bCs/>
        </w:rPr>
        <w:t xml:space="preserve">Prizes are digital-only: </w:t>
      </w:r>
      <w:r>
        <w:t xml:space="preserve">vouchers, tickets, and experience codes. No physical goods are shipped. This eliminates customs delays, lost-shipment risk, and per-market logistics complexity — winners receive prizes by email within days of the result.</w:t>
      </w:r>
    </w:p>
    <w:p>
      <w:pPr>
        <w:pStyle w:val="Heading1"/>
      </w:pPr>
      <w:r>
        <w:rPr>
          <w:color w:val="1F3A5F"/>
        </w:rPr>
        <w:t xml:space="preserve">2. The Shared Master Mechanic</w:t>
      </w:r>
    </w:p>
    <w:p>
      <w:pPr>
        <w:spacing w:after="140"/>
      </w:pPr>
      <w:r>
        <w:t xml:space="preserve">What every brand shares (and only this is shared):</w:t>
      </w:r>
    </w:p>
    <w:p>
      <w:pPr>
        <w:pStyle w:val="ListParagraph"/>
        <w:numPr>
          <w:ilvl w:val="0"/>
          <w:numId w:val="2"/>
        </w:numPr>
        <w:spacing w:after="80"/>
      </w:pPr>
      <w:r>
        <w:t xml:space="preserve">A 3-tier structure where total deposit qualifies a user for a tier, and trading volume within tier determines their rank. Universal labels: Tier 1, Tier 2, Tier 3.</w:t>
      </w:r>
    </w:p>
    <w:p>
      <w:pPr>
        <w:pStyle w:val="ListParagraph"/>
        <w:numPr>
          <w:ilvl w:val="0"/>
          <w:numId w:val="2"/>
        </w:numPr>
        <w:spacing w:after="80"/>
      </w:pPr>
      <w:r>
        <w:rPr>
          <w:b/>
          <w:bCs/>
        </w:rPr>
        <w:t xml:space="preserve">A pre-launch warm-up window 25–31 May.</w:t>
      </w:r>
      <w:r>
        <w:t xml:space="preserve"> Banners go live with a countdown and a head-start deposit credit: any deposit made before 1 June counts toward the user’s tier qualification on day one. Solves the empty-leaderboard cold start.</w:t>
      </w:r>
    </w:p>
    <w:p>
      <w:pPr>
        <w:pStyle w:val="ListParagraph"/>
        <w:numPr>
          <w:ilvl w:val="0"/>
          <w:numId w:val="2"/>
        </w:numPr>
        <w:spacing w:after="80"/>
      </w:pPr>
      <w:r>
        <w:t xml:space="preserve">Per-market leaderboards — no global ranking shown to users. A trader sees only their own market’s board.</w:t>
      </w:r>
    </w:p>
    <w:p>
      <w:pPr>
        <w:pStyle w:val="ListParagraph"/>
        <w:numPr>
          <w:ilvl w:val="0"/>
          <w:numId w:val="2"/>
        </w:numPr>
        <w:spacing w:after="80"/>
      </w:pPr>
      <w:r>
        <w:t xml:space="preserve">The 1 June – 19 July 2026 competition window — covering the full FIFA World Cup 2026 (group stage through the final).</w:t>
      </w:r>
    </w:p>
    <w:p>
      <w:pPr>
        <w:pStyle w:val="ListParagraph"/>
        <w:numPr>
          <w:ilvl w:val="0"/>
          <w:numId w:val="2"/>
        </w:numPr>
        <w:spacing w:after="80"/>
      </w:pPr>
      <w:r>
        <w:rPr>
          <w:b/>
          <w:bCs/>
        </w:rPr>
        <w:t xml:space="preserve">Compliance framing as a trading volume competition with deposit-based tier qualification — never as a deposit bonus or deposit-to-win promotion.</w:t>
      </w:r>
    </w:p>
    <w:p>
      <w:pPr>
        <w:pStyle w:val="ListParagraph"/>
        <w:numPr>
          <w:ilvl w:val="0"/>
          <w:numId w:val="2"/>
        </w:numPr>
        <w:spacing w:after="80"/>
      </w:pPr>
      <w:r>
        <w:t xml:space="preserve">Server-generated JSON leaderboard feed refreshed every 15 minutes (not a live DB connection from the public site).</w:t>
      </w:r>
    </w:p>
    <w:p>
      <w:pPr>
        <w:pStyle w:val="ListParagraph"/>
        <w:numPr>
          <w:ilvl w:val="0"/>
          <w:numId w:val="2"/>
        </w:numPr>
        <w:spacing w:after="80"/>
      </w:pPr>
      <w:r>
        <w:t xml:space="preserve">Masked display names by default (e.g. “A***d M.”) with an opt-in trader handle alternative.</w:t>
      </w:r>
    </w:p>
    <w:p>
      <w:pPr>
        <w:pStyle w:val="ListParagraph"/>
        <w:numPr>
          <w:ilvl w:val="0"/>
          <w:numId w:val="2"/>
        </w:numPr>
        <w:spacing w:after="80"/>
      </w:pPr>
      <w:r>
        <w:t xml:space="preserve">Two broadcast emails (pre-launch, launch) plus three triggered emails fired based on each user’s leaderboard state (next-tier proximity, rank movement, tier closing).</w:t>
      </w:r>
    </w:p>
    <w:p>
      <w:pPr>
        <w:pStyle w:val="ListParagraph"/>
        <w:numPr>
          <w:ilvl w:val="0"/>
          <w:numId w:val="2"/>
        </w:numPr>
        <w:spacing w:after="80"/>
      </w:pPr>
      <w:r>
        <w:t xml:space="preserve">Runner-up prizes for ranks 4–10 within each tier in place of a separate Final Draw RNG — keeps the leaderboard the focus.</w:t>
      </w:r>
    </w:p>
    <w:p>
      <w:pPr>
        <w:pStyle w:val="Heading2"/>
      </w:pPr>
      <w:r>
        <w:rPr>
          <w:color w:val="1F3A5F"/>
        </w:rPr>
        <w:t xml:space="preserve">Deposit qualification ranges (starting point — to be calibrated per market)</w:t>
      </w:r>
    </w:p>
    <w:p>
      <w:pPr>
        <w:spacing w:after="140"/>
      </w:pPr>
      <w:r>
        <w:t xml:space="preserve">These are starting bands. Final per-market thresholds are calibrated against June sales capacity figures — Japan and UAE will run higher minimums than Thailand and Portuguese.</w:t>
      </w:r>
    </w:p>
    <w:p>
      <w:pPr>
        <w:pStyle w:val="Heading2"/>
      </w:pPr>
      <w:r>
        <w:rPr>
          <w:color w:val="1F3A5F"/>
        </w:rPr>
        <w:t xml:space="preserve">Deposit qualification ranges — market-dependent</w:t>
      </w:r>
    </w:p>
    <w:p>
      <w:pPr>
        <w:spacing w:after="140"/>
      </w:pPr>
      <w:r>
        <w:rPr>
          <w:b/>
          <w:bCs/>
        </w:rPr>
        <w:t xml:space="preserve">Tier 1 is the entry tier; Tier 3 is the top tier. The higher the tier number, the bigger the prize pool. </w:t>
      </w:r>
      <w:r>
        <w:t xml:space="preserve">Floors are calibrated per market against June sales capacity figures. Lower-deposit markets (Thailand, Malaysia, Brazilian Portuguese, AR GCC) anchor at $100; higher-deposit markets (Japan, UAE, European Portuguese) anchor at $200. Tier 2 and Tier 3 scale proportionally.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2900"/>
        <w:gridCol w:w="136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Tier</w:t>
            </w:r>
          </w:p>
        </w:tc>
        <w:tc>
          <w:tcPr>
            <w:tcW w:type="dxa" w:w="29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Lower-deposit markets (USD)</w:t>
            </w:r>
          </w:p>
        </w:tc>
        <w:tc>
          <w:tcPr>
            <w:tcW w:type="dxa" w:w="29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Higher-deposit markets (USD)</w:t>
            </w:r>
          </w:p>
        </w:tc>
        <w:tc>
          <w:tcPr>
            <w:tcW w:type="dxa" w:w="13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Position</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Tier 1 (entry)</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$100 – $499</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$200 – $999</w:t>
            </w:r>
          </w:p>
        </w:tc>
        <w:tc>
          <w:tcPr>
            <w:tcW w:type="dxa" w:w="13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Entry-level prizes; many qualifiers</w:t>
            </w:r>
          </w:p>
        </w:tc>
      </w:tr>
      <w:tr>
        <w:tc>
          <w:tcPr>
            <w:tcW w:type="dxa" w:w="22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Tier 2 (mid)</w:t>
            </w:r>
          </w:p>
        </w:tc>
        <w:tc>
          <w:tcPr>
            <w:tcW w:type="dxa" w:w="29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$500 – $2,499</w:t>
            </w:r>
          </w:p>
        </w:tc>
        <w:tc>
          <w:tcPr>
            <w:tcW w:type="dxa" w:w="29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$1,000 – $4,999</w:t>
            </w:r>
          </w:p>
        </w:tc>
        <w:tc>
          <w:tcPr>
            <w:tcW w:type="dxa" w:w="13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Mid-range prizes; runner-up prizes 4–10</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Tier 3 (top)</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$2,500+</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$5,000+</w:t>
            </w:r>
          </w:p>
        </w:tc>
        <w:tc>
          <w:tcPr>
            <w:tcW w:type="dxa" w:w="13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Top prizes (ranks 1–3); runner-up prizes 4–10</w:t>
            </w:r>
          </w:p>
        </w:tc>
      </w:tr>
    </w:tbl>
    <w:p>
      <w:pPr>
        <w:spacing w:after="140"/>
      </w:pPr>
      <w:r>
        <w:t xml:space="preserve">Final per-market floors will be locked by 20 May once June sales capacity figures land.</w:t>
      </w:r>
    </w:p>
    <w:p>
      <w:pPr>
        <w:spacing w:after="120"/>
      </w:pPr>
      <w:r>
        <w:t xml:space="preserve"/>
      </w:r>
    </w:p>
    <w:p>
      <w:pPr>
        <w:pStyle w:val="Heading1"/>
      </w:pPr>
      <w:r>
        <w:rPr>
          <w:color w:val="1F3A5F"/>
        </w:rPr>
        <w:t xml:space="preserve">3. The Three Brand Tracks</w:t>
      </w:r>
    </w:p>
    <w:p>
      <w:pPr>
        <w:spacing w:after="140"/>
      </w:pPr>
      <w:r>
        <w:t xml:space="preserve">Each brand runs a distinctly named, distinctly designed competition. The competition names, visual languages, prize directions, tier badges, and tone of voice do not overlap. The mechanic underneath is identical — universal Tier 1 (entry) / Tier 2 (mid) / Tier 3 (top) is used internally and in T&amp;Cs; each brand surfaces these under its own tier names in customer-facing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24"/>
              <w:bottom w:val="single" w:color="1F3A5F" w:sz="4"/>
              <w:right w:val="single" w:color="1F3A5F" w:sz="4"/>
            </w:tcBorders>
            <w:shd w:fill="F7F8FA" w:val="clear"/>
            <w:tcMar>
              <w:top w:type="dxa" w:w="160"/>
              <w:left w:type="dxa" w:w="240"/>
              <w:bottom w:type="dxa" w:w="160"/>
              <w:right w:type="dxa" w:w="200"/>
            </w:tcMar>
          </w:tcPr>
          <w:p>
            <w:pPr>
              <w:spacing w:after="60"/>
            </w:pPr>
            <w:r>
              <w:rPr>
                <w:b/>
                <w:bCs/>
                <w:color w:val="1F3A5F"/>
                <w:sz w:val="28"/>
                <w:szCs w:val="28"/>
              </w:rPr>
              <w:t xml:space="preserve">Brand Track 1 — BrainTrade</w:t>
            </w:r>
          </w:p>
          <w:p>
            <w:r>
              <w:rPr>
                <w:i/>
                <w:iCs/>
                <w:color w:val="555555"/>
                <w:sz w:val="22"/>
                <w:szCs w:val="22"/>
              </w:rPr>
              <w:t xml:space="preserve">Markets: Japan, Thailand, Malaysia. Positioning: all-in-one trading academy. Audience: anyone who wants to join the platform, deposit, and invest — not a skills-tested subset.</w:t>
            </w:r>
          </w:p>
        </w:tc>
      </w:tr>
    </w:tbl>
    <w:p>
      <w:pPr>
        <w:spacing w:after="120"/>
      </w:pPr>
      <w:r>
        <w:t xml:space="preserve"/>
      </w:r>
    </w:p>
    <w:p>
      <w:pPr>
        <w:pStyle w:val="Heading2"/>
      </w:pPr>
      <w:r>
        <w:rPr>
          <w:color w:val="1F3A5F"/>
        </w:rPr>
        <w:t xml:space="preserve">BrainTrade — BrainTrade Champions Cup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Element</w:t>
            </w:r>
          </w:p>
        </w:tc>
        <w:tc>
          <w:tcPr>
            <w:tcW w:type="dxa" w:w="6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Detail</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Competition name</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BrainTrade Champions Cup (JP: 「ブレイントレード チャンピオンズ・カップ」)</w:t>
            </w:r>
          </w:p>
        </w:tc>
      </w:tr>
      <w:tr>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Core message</w:t>
            </w:r>
          </w:p>
        </w:tc>
        <w:tc>
          <w:tcPr>
            <w:tcW w:type="dxa" w:w="69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BrainTrade is the all-in-one trading academy. Anyone who joins BT and starts investing through the platform is automatically in the competition. The competition is a benefit of being on BT — not a separate skills test.</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Headline angle</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“We’re an all-in-one academy. Join us, start investing, and you’re in the Champions Cup.” The funnel: free academy signup → connect a partner broker → deposit → auto-enrolled in the competition → climb tiers by depositing more.</w:t>
            </w:r>
          </w:p>
        </w:tc>
      </w:tr>
      <w:tr>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Tier names</w:t>
            </w:r>
          </w:p>
        </w:tc>
        <w:tc>
          <w:tcPr>
            <w:tcW w:type="dxa" w:w="69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Tier 1: Starters (entry)  |  Tier 2: Contenders  |  Tier 3: Champions (top)</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Visual identity</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Modern trading-platform aesthetic, football-tournament cues. App screens, leaderboard imagery, stadium-light accents. Deep navy + brass + off-white. Clean, accessible, platform-forward — not academic or dojo-styled.</w:t>
            </w:r>
          </w:p>
        </w:tc>
      </w:tr>
      <w:tr>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Tier visual treatment</w:t>
            </w:r>
          </w:p>
        </w:tc>
        <w:tc>
          <w:tcPr>
            <w:tcW w:type="dxa" w:w="69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Football-tournament bracket framing: Group Stage (Starters / Tier 1) → Knockouts (Contenders / Tier 2) → Final (Champions / Tier 3). Tier badges echo trophy / medal hierarchy.</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Prize direction</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Football tickets (World Cup semi-final / final), resort vouchers, marketplace gift vouchers, food and travel experience codes. Digital delivery only — nothing shipped.</w:t>
            </w:r>
          </w:p>
        </w:tc>
      </w:tr>
      <w:tr>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Tone of voice</w:t>
            </w:r>
          </w:p>
        </w:tc>
        <w:tc>
          <w:tcPr>
            <w:tcW w:type="dxa" w:w="69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Inviting, accessible, platform-forward. “Join BrainTrade, start investing, you’re in.” “One academy, one competition, every market.” Avoid mastery, discipline, expert-vs-amateur framing.</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Copy strategy</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Master copy written once in English in the BrainTrade voice, then localized for JA, TH, and MS. Localization, not three separate originals.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4"/>
              <w:left w:val="single" w:color="1B4332" w:sz="24"/>
              <w:bottom w:val="single" w:color="1B4332" w:sz="4"/>
              <w:right w:val="single" w:color="1B4332" w:sz="4"/>
            </w:tcBorders>
            <w:shd w:fill="F7F8FA" w:val="clear"/>
            <w:tcMar>
              <w:top w:type="dxa" w:w="160"/>
              <w:left w:type="dxa" w:w="240"/>
              <w:bottom w:type="dxa" w:w="160"/>
              <w:right w:type="dxa" w:w="200"/>
            </w:tcMar>
          </w:tcPr>
          <w:p>
            <w:pPr>
              <w:spacing w:after="60"/>
            </w:pPr>
            <w:r>
              <w:rPr>
                <w:b/>
                <w:bCs/>
                <w:color w:val="1B4332"/>
                <w:sz w:val="28"/>
                <w:szCs w:val="28"/>
              </w:rPr>
              <w:t xml:space="preserve">Brand Track 2 — Warren Bowie &amp; Smith</w:t>
            </w:r>
          </w:p>
          <w:p>
            <w:r>
              <w:rPr>
                <w:i/>
                <w:iCs/>
                <w:color w:val="555555"/>
                <w:sz w:val="22"/>
                <w:szCs w:val="22"/>
              </w:rPr>
              <w:t xml:space="preserve">Market: Portuguese-speaking. Positioning: heritage / institutional CFD broker. Audience: aspirational traders.</w:t>
            </w:r>
          </w:p>
        </w:tc>
      </w:tr>
    </w:tbl>
    <w:p>
      <w:pPr>
        <w:spacing w:after="120"/>
      </w:pPr>
      <w:r>
        <w:t xml:space="preserve"/>
      </w:r>
    </w:p>
    <w:p>
      <w:pPr>
        <w:pStyle w:val="Heading2"/>
      </w:pPr>
      <w:r>
        <w:rPr>
          <w:color w:val="1B4332"/>
        </w:rPr>
        <w:t xml:space="preserve">Warren Bowie &amp; Smith — WB&amp;S Premier Trophy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B4332" w:val="clear"/>
            <w:tcMar>
              <w:top w:type="dxa" w:w="100"/>
              <w:left w:type="dxa" w:w="140"/>
              <w:bottom w:type="dxa" w:w="100"/>
              <w:right w:type="dxa" w:w="140"/>
            </w:tcMar>
          </w:tcPr>
          <w:p>
            <w:r>
              <w:rPr>
                <w:b/>
                <w:bCs/>
                <w:color w:val="FFFFFF"/>
                <w:sz w:val="22"/>
                <w:szCs w:val="22"/>
              </w:rPr>
              <w:t xml:space="preserve">Element</w:t>
            </w:r>
          </w:p>
        </w:tc>
        <w:tc>
          <w:tcPr>
            <w:tcW w:type="dxa" w:w="6960"/>
            <w:tcBorders>
              <w:top w:val="single" w:color="BFBFBF" w:sz="4"/>
              <w:left w:val="single" w:color="BFBFBF" w:sz="4"/>
              <w:bottom w:val="single" w:color="BFBFBF" w:sz="4"/>
              <w:right w:val="single" w:color="BFBFBF" w:sz="4"/>
            </w:tcBorders>
            <w:shd w:fill="1B4332" w:val="clear"/>
            <w:tcMar>
              <w:top w:type="dxa" w:w="100"/>
              <w:left w:type="dxa" w:w="140"/>
              <w:bottom w:type="dxa" w:w="100"/>
              <w:right w:type="dxa" w:w="140"/>
            </w:tcMar>
          </w:tcPr>
          <w:p>
            <w:r>
              <w:rPr>
                <w:b/>
                <w:bCs/>
                <w:color w:val="FFFFFF"/>
                <w:sz w:val="22"/>
                <w:szCs w:val="22"/>
              </w:rPr>
              <w:t xml:space="preserve">Detail</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Competition name</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WB&amp;S Premier Trophy (PT: Troféu Premier WB&amp;S)</w:t>
            </w:r>
          </w:p>
        </w:tc>
      </w:tr>
      <w:tr>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Concept angle</w:t>
            </w:r>
          </w:p>
        </w:tc>
        <w:tc>
          <w:tcPr>
            <w:tcW w:type="dxa" w:w="69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Heritage and prestige. Brand it as the firm’s flagship June event — the Premier Trophy, echoing top-flight football competition. Engraved silver, mahogany, club energy. This is the brand where the football angle is most defensible because the audience is genuinely watching the World Cup.</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Tier names</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Tier 1: Bronze Circle (entry)  |  Tier 2: Silver Circle  |  Tier 3: Gold Circle (top)</w:t>
            </w:r>
          </w:p>
        </w:tc>
      </w:tr>
      <w:tr>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Visual identity</w:t>
            </w:r>
          </w:p>
        </w:tc>
        <w:tc>
          <w:tcPr>
            <w:tcW w:type="dxa" w:w="69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Heritage broker aesthetic with football-trophy cues. Engraved type, serif headlines, deep green / oxblood / gold palette. Imagery: classic boardrooms, oil-painted-style trophy portraits, antique stadium textures. Tactile, not digital.</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Tier visual treatment</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Bronze / silver / gold engraved trophy crests, ascending. Heraldic, club-membership feel.</w:t>
            </w:r>
          </w:p>
        </w:tc>
      </w:tr>
      <w:tr>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Prize direction</w:t>
            </w:r>
          </w:p>
        </w:tc>
        <w:tc>
          <w:tcPr>
            <w:tcW w:type="dxa" w:w="69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Football tickets (World Cup semi-final / final corporate box), heritage hotel vouchers, luxury restaurant gift cards, premium travel vouchers. Digital delivery only.</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Tone of voice</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Confident, slightly formal, club-member feel. “Trade among the best.” “Earn your seat at the table.”</w:t>
            </w:r>
          </w:p>
        </w:tc>
      </w:tr>
      <w:tr>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Copy strategy</w:t>
            </w:r>
          </w:p>
        </w:tc>
        <w:tc>
          <w:tcPr>
            <w:tcW w:type="dxa" w:w="69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Master copy written once in Portuguese in the WB&amp;S voice. No additional localization needed (single-language brand).</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Open decision</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Confirm target geography — Brazil (more lifestyle-forward), Portugal (more reserved), or Lusophone Africa. Pick one register and commit; do not try to serve all three.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4D5C" w:sz="4"/>
              <w:left w:val="single" w:color="0E4D5C" w:sz="24"/>
              <w:bottom w:val="single" w:color="0E4D5C" w:sz="4"/>
              <w:right w:val="single" w:color="0E4D5C" w:sz="4"/>
            </w:tcBorders>
            <w:shd w:fill="F7F8FA" w:val="clear"/>
            <w:tcMar>
              <w:top w:type="dxa" w:w="160"/>
              <w:left w:type="dxa" w:w="240"/>
              <w:bottom w:type="dxa" w:w="160"/>
              <w:right w:type="dxa" w:w="200"/>
            </w:tcMar>
          </w:tcPr>
          <w:p>
            <w:pPr>
              <w:spacing w:after="60"/>
            </w:pPr>
            <w:r>
              <w:rPr>
                <w:b/>
                <w:bCs/>
                <w:color w:val="0E4D5C"/>
                <w:sz w:val="28"/>
                <w:szCs w:val="28"/>
              </w:rPr>
              <w:t xml:space="preserve">Brand Track 3 — 200Invest</w:t>
            </w:r>
          </w:p>
          <w:p>
            <w:r>
              <w:rPr>
                <w:i/>
                <w:iCs/>
                <w:color w:val="555555"/>
                <w:sz w:val="22"/>
                <w:szCs w:val="22"/>
              </w:rPr>
              <w:t xml:space="preserve">Markets: AR UAE, AR GCC. Positioning: Arabic-market broker. Audience: GCC-region traders.</w:t>
            </w:r>
          </w:p>
        </w:tc>
      </w:tr>
    </w:tbl>
    <w:p>
      <w:pPr>
        <w:spacing w:after="120"/>
      </w:pPr>
      <w:r>
        <w:t xml:space="preserve"/>
      </w:r>
    </w:p>
    <w:p>
      <w:pPr>
        <w:pStyle w:val="Heading2"/>
      </w:pPr>
      <w:r>
        <w:rPr>
          <w:color w:val="0E4D5C"/>
        </w:rPr>
        <w:t xml:space="preserve">200Invest — 200Invest Falcons Cup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E4D5C" w:val="clear"/>
            <w:tcMar>
              <w:top w:type="dxa" w:w="100"/>
              <w:left w:type="dxa" w:w="140"/>
              <w:bottom w:type="dxa" w:w="100"/>
              <w:right w:type="dxa" w:w="140"/>
            </w:tcMar>
          </w:tcPr>
          <w:p>
            <w:r>
              <w:rPr>
                <w:b/>
                <w:bCs/>
                <w:color w:val="FFFFFF"/>
                <w:sz w:val="22"/>
                <w:szCs w:val="22"/>
              </w:rPr>
              <w:t xml:space="preserve">Element</w:t>
            </w:r>
          </w:p>
        </w:tc>
        <w:tc>
          <w:tcPr>
            <w:tcW w:type="dxa" w:w="6960"/>
            <w:tcBorders>
              <w:top w:val="single" w:color="BFBFBF" w:sz="4"/>
              <w:left w:val="single" w:color="BFBFBF" w:sz="4"/>
              <w:bottom w:val="single" w:color="BFBFBF" w:sz="4"/>
              <w:right w:val="single" w:color="BFBFBF" w:sz="4"/>
            </w:tcBorders>
            <w:shd w:fill="0E4D5C" w:val="clear"/>
            <w:tcMar>
              <w:top w:type="dxa" w:w="100"/>
              <w:left w:type="dxa" w:w="140"/>
              <w:bottom w:type="dxa" w:w="100"/>
              <w:right w:type="dxa" w:w="140"/>
            </w:tcMar>
          </w:tcPr>
          <w:p>
            <w:r>
              <w:rPr>
                <w:b/>
                <w:bCs/>
                <w:color w:val="FFFFFF"/>
                <w:sz w:val="22"/>
                <w:szCs w:val="22"/>
              </w:rPr>
              <w:t xml:space="preserve">Detail</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Competition name</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200Invest Falcons Cup (AR: كأس صقور 200Invest — Ka’s Suqūr 200Invest)</w:t>
            </w:r>
          </w:p>
        </w:tc>
      </w:tr>
      <w:tr>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Concept angle</w:t>
            </w:r>
          </w:p>
        </w:tc>
        <w:tc>
          <w:tcPr>
            <w:tcW w:type="dxa" w:w="69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Football meets the falcon — a Gulf-native symbol of precision, focus, and ascent. “Falcons” plays as a team name (echoing real Gulf football identifiers) and ties into the brand’s existing 200Invest visual world. Cup framing keeps it firmly in football territory.</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Tier names</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Tier 1: Soar / تحلّق (entry)  |  Tier 2: Ascend / تصاعد  |  Tier 3: Apex / القمّة (top)</w:t>
            </w:r>
          </w:p>
        </w:tc>
      </w:tr>
      <w:tr>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Visual identity</w:t>
            </w:r>
          </w:p>
        </w:tc>
        <w:tc>
          <w:tcPr>
            <w:tcW w:type="dxa" w:w="69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Modern Gulf luxury with football-tournament structure. Desert palette — sand, deep teal, gold leaf, ink black. Geometric Islamic-art-inspired patterning (no religious motifs). Falcon iconography handled stylized and modern, paired with cup / trophy framing. RTL throughout.</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Tier visual treatment</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Stylized falcon at three altitudes — soaring (Tier 1), ascending (Tier 2), apex (Tier 3). Brass inlay for Tier 1, silver for Tier 2, gold for Tier 3.</w:t>
            </w:r>
          </w:p>
        </w:tc>
      </w:tr>
      <w:tr>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Prize direction</w:t>
            </w:r>
          </w:p>
        </w:tc>
        <w:tc>
          <w:tcPr>
            <w:tcW w:type="dxa" w:w="69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Football tickets (World Cup semi-final / final), flagship Gulf hotel vouchers, premium airline vouchers, regional luxury experience codes. Digital delivery only — avoid alcohol-adjacent prizes.</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Tone of voice</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Elevated, precise, status-forward. “For those who trade with intent.” “Precision is rewarded.”</w:t>
            </w:r>
          </w:p>
        </w:tc>
      </w:tr>
      <w:tr>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Copy strategy</w:t>
            </w:r>
          </w:p>
        </w:tc>
        <w:tc>
          <w:tcPr>
            <w:tcW w:type="dxa" w:w="69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Master copy written once in Modern Standard Arabic, serves both UAE and GCC markets. Local dialect only in social ads if at all. RTL design throughout, including the leaderboard.</w:t>
            </w:r>
          </w:p>
        </w:tc>
      </w:tr>
    </w:tbl>
    <w:p>
      <w:pPr>
        <w:spacing w:after="120"/>
      </w:pPr>
      <w:r>
        <w:t xml:space="preserve"/>
      </w:r>
    </w:p>
    <w:p>
      <w:pPr>
        <w:pStyle w:val="Heading1"/>
      </w:pPr>
      <w:r>
        <w:rPr>
          <w:color w:val="1F3A5F"/>
        </w:rPr>
        <w:t xml:space="preserve">4. Creative Team — Content + Design</w:t>
      </w:r>
    </w:p>
    <w:p>
      <w:pPr>
        <w:spacing w:after="140"/>
      </w:pPr>
      <w:r>
        <w:rPr>
          <w:b/>
          <w:bCs/>
        </w:rPr>
        <w:t xml:space="preserve">Owner: </w:t>
      </w:r>
      <w:r>
        <w:t xml:space="preserve">[Creative Lead]    </w:t>
      </w:r>
      <w:r>
        <w:rPr>
          <w:b/>
          <w:bCs/>
        </w:rPr>
        <w:t xml:space="preserve">Target delivery: </w:t>
      </w:r>
      <w:r>
        <w:t xml:space="preserve">First draft 27 May / final sign-off 30 May. (Three brand tracks roughly double creative workload — either split across pods or accept the revised date.)</w:t>
      </w:r>
    </w:p>
    <w:p>
      <w:pPr>
        <w:pStyle w:val="Heading2"/>
      </w:pPr>
      <w:r>
        <w:rPr>
          <w:color w:val="1F3A5F"/>
        </w:rPr>
        <w:t xml:space="preserve">Three creative systems, not one with skins</w:t>
      </w:r>
    </w:p>
    <w:p>
      <w:pPr>
        <w:spacing w:after="140"/>
      </w:pPr>
      <w:r>
        <w:t xml:space="preserve">Each brand owns its own:</w:t>
      </w:r>
    </w:p>
    <w:p>
      <w:pPr>
        <w:pStyle w:val="ListParagraph"/>
        <w:numPr>
          <w:ilvl w:val="0"/>
          <w:numId w:val="2"/>
        </w:numPr>
        <w:spacing w:after="80"/>
      </w:pPr>
      <w:r>
        <w:t xml:space="preserve">Competition wordmark and logo lockup (Champions Cup / Premier Trophy / Falcons Cup)</w:t>
      </w:r>
    </w:p>
    <w:p>
      <w:pPr>
        <w:pStyle w:val="ListParagraph"/>
        <w:numPr>
          <w:ilvl w:val="0"/>
          <w:numId w:val="2"/>
        </w:numPr>
        <w:spacing w:after="80"/>
      </w:pPr>
      <w:r>
        <w:t xml:space="preserve">Color palette, typography, and visual design language</w:t>
      </w:r>
    </w:p>
    <w:p>
      <w:pPr>
        <w:pStyle w:val="ListParagraph"/>
        <w:numPr>
          <w:ilvl w:val="0"/>
          <w:numId w:val="2"/>
        </w:numPr>
        <w:spacing w:after="80"/>
      </w:pPr>
      <w:r>
        <w:t xml:space="preserve">Tier-naming system and tier badge artwork (brand-specific names, mapped internally to Tier 1 / 2 / 3)</w:t>
      </w:r>
    </w:p>
    <w:p>
      <w:pPr>
        <w:pStyle w:val="ListParagraph"/>
        <w:numPr>
          <w:ilvl w:val="0"/>
          <w:numId w:val="2"/>
        </w:numPr>
        <w:spacing w:after="80"/>
      </w:pPr>
      <w:r>
        <w:t xml:space="preserve">Prize architecture and prize photography style</w:t>
      </w:r>
    </w:p>
    <w:p>
      <w:pPr>
        <w:pStyle w:val="ListParagraph"/>
        <w:numPr>
          <w:ilvl w:val="0"/>
          <w:numId w:val="2"/>
        </w:numPr>
        <w:spacing w:after="80"/>
      </w:pPr>
      <w:r>
        <w:t xml:space="preserve">Tone-of-voice document</w:t>
      </w:r>
    </w:p>
    <w:p>
      <w:pPr>
        <w:pStyle w:val="ListParagraph"/>
        <w:numPr>
          <w:ilvl w:val="0"/>
          <w:numId w:val="2"/>
        </w:numPr>
        <w:spacing w:after="80"/>
      </w:pPr>
      <w:r>
        <w:t xml:space="preserve">Landing page copy written in each brand’s own voice (master copy per brand, then localized inside that brand’s markets where needed)</w:t>
      </w:r>
    </w:p>
    <w:p>
      <w:pPr>
        <w:pStyle w:val="Heading2"/>
      </w:pPr>
      <w:r>
        <w:rPr>
          <w:color w:val="1F3A5F"/>
        </w:rPr>
        <w:t xml:space="preserve">Copy strategy — write per brand, localize within</w:t>
      </w:r>
    </w:p>
    <w:p>
      <w:pPr>
        <w:spacing w:after="140"/>
      </w:pPr>
      <w:r>
        <w:rPr>
          <w:b/>
          <w:bCs/>
        </w:rPr>
        <w:t xml:space="preserve">Three master copy passes, not six. </w:t>
      </w:r>
      <w:r>
        <w:t xml:space="preserve">BrainTrade master copy is written once in English in the BT voice, then localized into JA, TH, and MS by translators (not rewritten). WB&amp;S is written once in Portuguese. 200Invest is written once in Modern Standard Arabic and serves both UAE and GCC. Cultural adaptation happens in the visual layer (RTL, density, imagery) — not in writing six separate landing pages from scratch.</w:t>
      </w:r>
    </w:p>
    <w:p>
      <w:pPr>
        <w:pStyle w:val="Heading2"/>
      </w:pPr>
      <w:r>
        <w:rPr>
          <w:color w:val="1F3A5F"/>
        </w:rPr>
        <w:t xml:space="preserve">Content deliverables per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Asset</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BrainTrade</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WB&amp;S</w:t>
            </w:r>
          </w:p>
        </w:tc>
        <w:tc>
          <w:tcPr>
            <w:tcW w:type="dxa" w:w="23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200Invest</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Landing page copy</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Master in EN, localized to JA / TH / MS</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Master in PT</w:t>
            </w:r>
          </w:p>
        </w:tc>
        <w:tc>
          <w:tcPr>
            <w:tcW w:type="dxa" w:w="23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Master in AR (serves UAE + GCC)</w:t>
            </w:r>
          </w:p>
        </w:tc>
      </w:tr>
      <w:tr>
        <w:tc>
          <w:tcPr>
            <w:tcW w:type="dxa" w:w="22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Homepage banner + countdown (warm-up + live)</w:t>
            </w:r>
          </w:p>
        </w:tc>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EN → JA / TH / MS</w:t>
            </w:r>
          </w:p>
        </w:tc>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PT</w:t>
            </w:r>
          </w:p>
        </w:tc>
        <w:tc>
          <w:tcPr>
            <w:tcW w:type="dxa" w:w="23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AR</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Leaderboard UI strings</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EN → JA / TH / MS</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PT</w:t>
            </w:r>
          </w:p>
        </w:tc>
        <w:tc>
          <w:tcPr>
            <w:tcW w:type="dxa" w:w="23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AR</w:t>
            </w:r>
          </w:p>
        </w:tc>
      </w:tr>
      <w:tr>
        <w:tc>
          <w:tcPr>
            <w:tcW w:type="dxa" w:w="22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Tier explainer cards (×3)</w:t>
            </w:r>
          </w:p>
        </w:tc>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EN → JA / TH / MS</w:t>
            </w:r>
          </w:p>
        </w:tc>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PT</w:t>
            </w:r>
          </w:p>
        </w:tc>
        <w:tc>
          <w:tcPr>
            <w:tcW w:type="dxa" w:w="23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AR</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FAQ (8–10 questions)</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EN → JA / TH / MS</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PT</w:t>
            </w:r>
          </w:p>
        </w:tc>
        <w:tc>
          <w:tcPr>
            <w:tcW w:type="dxa" w:w="23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AR</w:t>
            </w:r>
          </w:p>
        </w:tc>
      </w:tr>
      <w:tr>
        <w:tc>
          <w:tcPr>
            <w:tcW w:type="dxa" w:w="22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T&amp;Cs framework + jurisdictional inserts (per brand)</w:t>
            </w:r>
          </w:p>
        </w:tc>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EN master, JA / TH / MS inserts</w:t>
            </w:r>
          </w:p>
        </w:tc>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PT master + jurisdictional</w:t>
            </w:r>
          </w:p>
        </w:tc>
        <w:tc>
          <w:tcPr>
            <w:tcW w:type="dxa" w:w="23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AR master, UAE + GCC inserts</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Broadcast emails (×2: pre-launch, launch)</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EN → JA / TH / MS</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PT</w:t>
            </w:r>
          </w:p>
        </w:tc>
        <w:tc>
          <w:tcPr>
            <w:tcW w:type="dxa" w:w="23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AR</w:t>
            </w:r>
          </w:p>
        </w:tc>
      </w:tr>
      <w:tr>
        <w:tc>
          <w:tcPr>
            <w:tcW w:type="dxa" w:w="22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Triggered emails (×4: post-deposit welcome, tier proximity, rank movement, tier closing)</w:t>
            </w:r>
          </w:p>
        </w:tc>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EN → JA / TH / MS</w:t>
            </w:r>
          </w:p>
        </w:tc>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PT</w:t>
            </w:r>
          </w:p>
        </w:tc>
        <w:tc>
          <w:tcPr>
            <w:tcW w:type="dxa" w:w="23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AR</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Winner reveal email</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EN → JA / TH / MS</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PT</w:t>
            </w:r>
          </w:p>
        </w:tc>
        <w:tc>
          <w:tcPr>
            <w:tcW w:type="dxa" w:w="23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AR</w:t>
            </w:r>
          </w:p>
        </w:tc>
      </w:tr>
      <w:tr>
        <w:tc>
          <w:tcPr>
            <w:tcW w:type="dxa" w:w="22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Social ad copy (5+ variants)</w:t>
            </w:r>
          </w:p>
        </w:tc>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EN → JA / TH / MS</w:t>
            </w:r>
          </w:p>
        </w:tc>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PT</w:t>
            </w:r>
          </w:p>
        </w:tc>
        <w:tc>
          <w:tcPr>
            <w:tcW w:type="dxa" w:w="23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AR</w:t>
            </w:r>
          </w:p>
        </w:tc>
      </w:tr>
    </w:tbl>
    <w:p>
      <w:pPr>
        <w:spacing w:after="120"/>
      </w:pPr>
      <w:r>
        <w:t xml:space="preserve"/>
      </w:r>
    </w:p>
    <w:p>
      <w:pPr>
        <w:pStyle w:val="Heading2"/>
      </w:pPr>
      <w:r>
        <w:rPr>
          <w:color w:val="1F3A5F"/>
        </w:rPr>
        <w:t xml:space="preserve">Design deliverables per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Asset</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Format</w:t>
            </w:r>
          </w:p>
        </w:tc>
        <w:tc>
          <w:tcPr>
            <w:tcW w:type="dxa" w:w="3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Notes</w:t>
            </w:r>
          </w:p>
        </w:tc>
      </w:tr>
      <w:tr>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Landing page design × 3 brands</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Figma, mobile + desktop</w:t>
            </w:r>
          </w:p>
        </w:tc>
        <w:tc>
          <w:tcPr>
            <w:tcW w:type="dxa" w:w="39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Each brand a separate Figma file with its own component library. No shared symbols across brands.</w:t>
            </w:r>
          </w:p>
        </w:tc>
      </w:tr>
      <w:tr>
        <w:tc>
          <w:tcPr>
            <w:tcW w:type="dxa" w:w="30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Homepage banner × 3 brands</w:t>
            </w:r>
          </w:p>
        </w:tc>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Figma + HTML5</w:t>
            </w:r>
          </w:p>
        </w:tc>
        <w:tc>
          <w:tcPr>
            <w:tcW w:type="dxa" w:w="39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Warm-up variant (25–31 May with countdown) and live variant (1–30 June). Static + animated.</w:t>
            </w:r>
          </w:p>
        </w:tc>
      </w:tr>
      <w:tr>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Leaderboard component × 3 brands</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Figma</w:t>
            </w:r>
          </w:p>
        </w:tc>
        <w:tc>
          <w:tcPr>
            <w:tcW w:type="dxa" w:w="39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Each branded version with its own tier-badge styling. Empty / mid-month / final states.</w:t>
            </w:r>
          </w:p>
        </w:tc>
      </w:tr>
      <w:tr>
        <w:tc>
          <w:tcPr>
            <w:tcW w:type="dxa" w:w="30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Tier badges × 3 brands</w:t>
            </w:r>
          </w:p>
        </w:tc>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SVG</w:t>
            </w:r>
          </w:p>
        </w:tc>
        <w:tc>
          <w:tcPr>
            <w:tcW w:type="dxa" w:w="39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Each brand uses its own tier names: Starters / Contenders / Champions (BrainTrade); Bronze / Silver / Gold Circle (WB&amp;S); Soar / Ascend / Apex (200Invest). Tier 1 = entry, Tier 3 = top — mapped internally. Visual treatment: BrainTrade tournament-bracket cues; WB&amp;S ascending engraved crests; 200Invest stylized falcon at three altitudes.</w:t>
            </w:r>
          </w:p>
        </w:tc>
      </w:tr>
      <w:tr>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Prize hero imagery × 3 brands</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Photography / render</w:t>
            </w:r>
          </w:p>
        </w:tc>
        <w:tc>
          <w:tcPr>
            <w:tcW w:type="dxa" w:w="39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Wait for Operations to confirm prize list before producing. Imagery style differs per brand (academic vs. heritage vs. Gulf luxury).</w:t>
            </w:r>
          </w:p>
        </w:tc>
      </w:tr>
      <w:tr>
        <w:tc>
          <w:tcPr>
            <w:tcW w:type="dxa" w:w="30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Social ad creatives</w:t>
            </w:r>
          </w:p>
        </w:tc>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5 sizes × 6 markets</w:t>
            </w:r>
          </w:p>
        </w:tc>
        <w:tc>
          <w:tcPr>
            <w:tcW w:type="dxa" w:w="39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Match each brand template.</w:t>
            </w:r>
          </w:p>
        </w:tc>
      </w:tr>
      <w:tr>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Email header graphics</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7 emails × 6 markets</w:t>
            </w:r>
          </w:p>
        </w:tc>
        <w:tc>
          <w:tcPr>
            <w:tcW w:type="dxa" w:w="39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Two broadcasts + four triggered + winner reveal.</w:t>
            </w:r>
          </w:p>
        </w:tc>
      </w:tr>
      <w:tr>
        <w:tc>
          <w:tcPr>
            <w:tcW w:type="dxa" w:w="30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Winner reveal template × 3 brands</w:t>
            </w:r>
          </w:p>
        </w:tc>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Figma</w:t>
            </w:r>
          </w:p>
        </w:tc>
        <w:tc>
          <w:tcPr>
            <w:tcW w:type="dxa" w:w="39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For post-competition announcements.</w:t>
            </w:r>
          </w:p>
        </w:tc>
      </w:tr>
    </w:tbl>
    <w:p>
      <w:pPr>
        <w:spacing w:after="120"/>
      </w:pPr>
      <w:r>
        <w:t xml:space="preserve"/>
      </w:r>
    </w:p>
    <w:p>
      <w:pPr>
        <w:pStyle w:val="Heading2"/>
      </w:pPr>
      <w:r>
        <w:rPr>
          <w:color w:val="1F3A5F"/>
        </w:rPr>
        <w:t xml:space="preserve">Universal rules across all three brands</w:t>
      </w:r>
    </w:p>
    <w:p>
      <w:pPr>
        <w:pStyle w:val="ListParagraph"/>
        <w:numPr>
          <w:ilvl w:val="0"/>
          <w:numId w:val="2"/>
        </w:numPr>
        <w:spacing w:after="80"/>
      </w:pPr>
      <w:r>
        <w:rPr>
          <w:b/>
          <w:bCs/>
        </w:rPr>
        <w:t xml:space="preserve">No FIFA, World Cup, UEFA, or national team trademarks.</w:t>
      </w:r>
      <w:r>
        <w:t xml:space="preserve"> Use generic football, stadium, and trophy visuals only where football imagery is appropriate.</w:t>
      </w:r>
    </w:p>
    <w:p>
      <w:pPr>
        <w:pStyle w:val="ListParagraph"/>
        <w:numPr>
          <w:ilvl w:val="0"/>
          <w:numId w:val="2"/>
        </w:numPr>
        <w:spacing w:after="80"/>
      </w:pPr>
      <w:r>
        <w:t xml:space="preserve">Each brand’s creative is reviewed for compliance in its own context — what reads as fine for WB&amp;S Portuguese may not work for the BrainTrade academy framing.</w:t>
      </w:r>
    </w:p>
    <w:p>
      <w:pPr>
        <w:pStyle w:val="ListParagraph"/>
        <w:numPr>
          <w:ilvl w:val="0"/>
          <w:numId w:val="2"/>
        </w:numPr>
        <w:spacing w:after="80"/>
      </w:pPr>
      <w:r>
        <w:t xml:space="preserve">Japanese market: run JP UX review pass before sign-off.</w:t>
      </w:r>
    </w:p>
    <w:p>
      <w:pPr>
        <w:pStyle w:val="ListParagraph"/>
        <w:numPr>
          <w:ilvl w:val="0"/>
          <w:numId w:val="2"/>
        </w:numPr>
        <w:spacing w:after="80"/>
      </w:pPr>
      <w:r>
        <w:t xml:space="preserve">Arabic markets: RTL layouts throughout, conservative imagery, no human depictions inconsistent with local norms.</w:t>
      </w:r>
    </w:p>
    <w:p>
      <w:pPr>
        <w:pStyle w:val="ListParagraph"/>
        <w:numPr>
          <w:ilvl w:val="0"/>
          <w:numId w:val="2"/>
        </w:numPr>
        <w:spacing w:after="80"/>
      </w:pPr>
      <w:r>
        <w:t xml:space="preserve">Portuguese market: confirm target geography before final creative.</w:t>
      </w:r>
    </w:p>
    <w:p>
      <w:pPr>
        <w:pStyle w:val="Heading1"/>
      </w:pPr>
      <w:r>
        <w:rPr>
          <w:color w:val="1F3A5F"/>
        </w:rPr>
        <w:t xml:space="preserve">5. Dev Team — Development + Implementation</w:t>
      </w:r>
    </w:p>
    <w:p>
      <w:pPr>
        <w:spacing w:after="140"/>
      </w:pPr>
      <w:r>
        <w:rPr>
          <w:b/>
          <w:bCs/>
        </w:rPr>
        <w:t xml:space="preserve">Owner: </w:t>
      </w:r>
      <w:r>
        <w:t xml:space="preserve">[Dev Lead]    </w:t>
      </w:r>
      <w:r>
        <w:rPr>
          <w:b/>
          <w:bCs/>
        </w:rPr>
        <w:t xml:space="preserve">Target delivery: </w:t>
      </w:r>
      <w:r>
        <w:t xml:space="preserve">Wednesday 27 May staging → 1 June live</w:t>
      </w:r>
    </w:p>
    <w:p>
      <w:pPr>
        <w:pStyle w:val="Heading2"/>
      </w:pPr>
      <w:r>
        <w:rPr>
          <w:color w:val="1F3A5F"/>
        </w:rPr>
        <w:t xml:space="preserve">Production approach — build with Claude Code</w:t>
      </w:r>
    </w:p>
    <w:p>
      <w:pPr>
        <w:spacing w:after="140"/>
      </w:pPr>
      <w:r>
        <w:t xml:space="preserve">To save production time, the landing pages are </w:t>
      </w:r>
      <w:r>
        <w:rPr>
          <w:b/>
          <w:bCs/>
        </w:rPr>
        <w:t xml:space="preserve">built with Claude Code in parallel with the design pass</w:t>
      </w:r>
      <w:r>
        <w:t xml:space="preserve">, rather than waiting for full Figma handoff. The structure: one shared HTML skeleton, three brand theme files (CSS variable sets + tokens), and one copy file per market (JSON). A small build step combines these into six static HTML files — one per market — ready for staging.</w:t>
      </w:r>
    </w:p>
    <w:p>
      <w:pPr>
        <w:spacing w:after="140"/>
      </w:pPr>
      <w:r>
        <w:rPr>
          <w:b/>
          <w:bCs/>
        </w:rPr>
        <w:t xml:space="preserve">Why this saves time: </w:t>
      </w:r>
      <w:r>
        <w:t xml:space="preserve">copy translators work in JSON, not in HTML (no escaping bugs in Arabic or Japanese). Designers iterate by overriding theme tokens instead of rebuilding pages. A bug fix lands in six pages with one edit per brand. And the mock leaderboard JSON in dev matches the production JSON shape, so the swap-in to live data is trivial once the cron pipeline is ready.</w:t>
      </w:r>
    </w:p>
    <w:p>
      <w:pPr>
        <w:spacing w:after="140"/>
      </w:pPr>
      <w:r>
        <w:rPr>
          <w:b/>
          <w:bCs/>
        </w:rPr>
        <w:t xml:space="preserve">Recommended build sequence: </w:t>
      </w:r>
      <w:r>
        <w:t xml:space="preserve">(1) skeleton + BrainTrade Japan as proof of concept; (2) WB&amp;S Portuguese + 200Invest Arabic (</w:t>
      </w:r>
      <w:r>
        <w:rPr>
          <w:b/>
          <w:bCs/>
        </w:rPr>
        <w:t xml:space="preserve">RTL is the highest-risk technical lift</w:t>
      </w:r>
      <w:r>
        <w:t xml:space="preserve"> — doing it early de-risks the rest); (3) remaining BrainTrade markets (Thai, Malay) plus polish, animations, social card metadata, and analytics. Each pass is staging-deployable on its own.</w:t>
      </w:r>
    </w:p>
    <w:p>
      <w:pPr>
        <w:pStyle w:val="Heading2"/>
      </w:pPr>
      <w:r>
        <w:rPr>
          <w:color w:val="1F3A5F"/>
        </w:rPr>
        <w:t xml:space="preserve">Landing pages</w:t>
      </w:r>
    </w:p>
    <w:p>
      <w:pPr>
        <w:pStyle w:val="ListParagraph"/>
        <w:numPr>
          <w:ilvl w:val="0"/>
          <w:numId w:val="2"/>
        </w:numPr>
        <w:spacing w:after="80"/>
      </w:pPr>
      <w:r>
        <w:t xml:space="preserve">One LP template engine, configurable per brand (theme tokens, i18n strings, brand assets, leaderboard endpoint).</w:t>
      </w:r>
    </w:p>
    <w:p>
      <w:pPr>
        <w:pStyle w:val="ListParagraph"/>
        <w:numPr>
          <w:ilvl w:val="0"/>
          <w:numId w:val="2"/>
        </w:numPr>
        <w:spacing w:after="80"/>
      </w:pPr>
      <w:r>
        <w:t xml:space="preserve">Three distinct themes (BrainTrade, WB&amp;S, 200Invest) implemented as CSS variable sets and per-brand asset packs.</w:t>
      </w:r>
    </w:p>
    <w:p>
      <w:pPr>
        <w:pStyle w:val="ListParagraph"/>
        <w:numPr>
          <w:ilvl w:val="0"/>
          <w:numId w:val="2"/>
        </w:numPr>
        <w:spacing w:after="80"/>
      </w:pPr>
      <w:r>
        <w:t xml:space="preserve">Each LP hosted on the relevant brand domain under /traders-cup-2026/ or equivalent localized slug.</w:t>
      </w:r>
    </w:p>
    <w:p>
      <w:pPr>
        <w:pStyle w:val="ListParagraph"/>
        <w:numPr>
          <w:ilvl w:val="0"/>
          <w:numId w:val="2"/>
        </w:numPr>
        <w:spacing w:after="80"/>
      </w:pPr>
      <w:r>
        <w:t xml:space="preserve">Mobile-first responsive layout.</w:t>
      </w:r>
    </w:p>
    <w:p>
      <w:pPr>
        <w:pStyle w:val="ListParagraph"/>
        <w:numPr>
          <w:ilvl w:val="0"/>
          <w:numId w:val="2"/>
        </w:numPr>
        <w:spacing w:after="80"/>
      </w:pPr>
      <w:r>
        <w:t xml:space="preserve">Lazy-load the leaderboard component below the fold for performance.</w:t>
      </w:r>
    </w:p>
    <w:p>
      <w:pPr>
        <w:pStyle w:val="ListParagraph"/>
        <w:numPr>
          <w:ilvl w:val="0"/>
          <w:numId w:val="2"/>
        </w:numPr>
        <w:spacing w:after="80"/>
      </w:pPr>
      <w:r>
        <w:t xml:space="preserve">Open Graph + Twitter card tags per market, with brand-specific imagery.</w:t>
      </w:r>
    </w:p>
    <w:p>
      <w:pPr>
        <w:pStyle w:val="ListParagraph"/>
        <w:numPr>
          <w:ilvl w:val="0"/>
          <w:numId w:val="2"/>
        </w:numPr>
        <w:spacing w:after="80"/>
      </w:pPr>
      <w:r>
        <w:t xml:space="preserve">RTL stylesheet variant for 200Invest.</w:t>
      </w:r>
    </w:p>
    <w:p>
      <w:pPr>
        <w:pStyle w:val="ListParagraph"/>
        <w:numPr>
          <w:ilvl w:val="0"/>
          <w:numId w:val="2"/>
        </w:numPr>
        <w:spacing w:after="80"/>
      </w:pPr>
      <w:r>
        <w:t xml:space="preserve">Analytics: GA4 + Meta Pixel + brand-specific tracking per existing setup.</w:t>
      </w:r>
    </w:p>
    <w:p>
      <w:pPr>
        <w:pStyle w:val="Heading2"/>
      </w:pPr>
      <w:r>
        <w:rPr>
          <w:color w:val="1F3A5F"/>
        </w:rPr>
        <w:t xml:space="preserve">Homepage banners</w:t>
      </w:r>
    </w:p>
    <w:p>
      <w:pPr>
        <w:pStyle w:val="ListParagraph"/>
        <w:numPr>
          <w:ilvl w:val="0"/>
          <w:numId w:val="2"/>
        </w:numPr>
        <w:spacing w:after="80"/>
      </w:pPr>
      <w:r>
        <w:t xml:space="preserve">Banner slot on the homepage of each brand property (three properties total).</w:t>
      </w:r>
    </w:p>
    <w:p>
      <w:pPr>
        <w:pStyle w:val="ListParagraph"/>
        <w:numPr>
          <w:ilvl w:val="0"/>
          <w:numId w:val="2"/>
        </w:numPr>
        <w:spacing w:after="80"/>
      </w:pPr>
      <w:r>
        <w:t xml:space="preserve">Click-through to LP with UTM tagging unique per brand (e.g. utm_campaign=masters_league_2026, utm_campaign=wbs_trophy_2026, utm_campaign=falcon_trophy_2026).</w:t>
      </w:r>
    </w:p>
    <w:p>
      <w:pPr>
        <w:pStyle w:val="ListParagraph"/>
        <w:numPr>
          <w:ilvl w:val="0"/>
          <w:numId w:val="2"/>
        </w:numPr>
        <w:spacing w:after="80"/>
      </w:pPr>
      <w:r>
        <w:t xml:space="preserve">Countdown timer in vanilla JS, no external dependency.</w:t>
      </w:r>
    </w:p>
    <w:p>
      <w:pPr>
        <w:pStyle w:val="ListParagraph"/>
        <w:numPr>
          <w:ilvl w:val="0"/>
          <w:numId w:val="2"/>
        </w:numPr>
        <w:spacing w:after="80"/>
      </w:pPr>
      <w:r>
        <w:t xml:space="preserve">Two states: pre-launch (“Starts 1 June”) and live (“Ends in X days”).</w:t>
      </w:r>
    </w:p>
    <w:p>
      <w:pPr>
        <w:pStyle w:val="Heading2"/>
      </w:pPr>
      <w:r>
        <w:rPr>
          <w:color w:val="1F3A5F"/>
        </w:rPr>
        <w:t xml:space="preserve">Leaderboard architecture (recommended)</w:t>
      </w:r>
    </w:p>
    <w:p>
      <w:pPr>
        <w:spacing w:after="140"/>
      </w:pPr>
      <w:r>
        <w:rPr>
          <w:b/>
          <w:bCs/>
        </w:rPr>
        <w:t xml:space="preserve">Use a static JSON feed pattern, not a live DB connection from the public site. </w:t>
      </w:r>
      <w:r>
        <w:t xml:space="preserve">Isolates the trading data source from public traffic and keeps page load fast.</w:t>
      </w:r>
    </w:p>
    <w:p>
      <w:pPr>
        <w:pStyle w:val="Heading3"/>
      </w:pPr>
      <w:r>
        <w:t xml:space="preserve">Pipeline</w:t>
      </w:r>
    </w:p>
    <w:p>
      <w:pPr>
        <w:pStyle w:val="ListParagraph"/>
        <w:numPr>
          <w:ilvl w:val="0"/>
          <w:numId w:val="2"/>
        </w:numPr>
        <w:spacing w:after="80"/>
      </w:pPr>
      <w:r>
        <w:t xml:space="preserve">Cron job runs every 15 minutes (*/15 * * * *) on a backend worker.</w:t>
      </w:r>
    </w:p>
    <w:p>
      <w:pPr>
        <w:pStyle w:val="ListParagraph"/>
        <w:numPr>
          <w:ilvl w:val="0"/>
          <w:numId w:val="2"/>
        </w:numPr>
        <w:spacing w:after="80"/>
      </w:pPr>
      <w:r>
        <w:t xml:space="preserve">Worker queries the relevant data source per market: the BrainTrade platform layer for JP/TH/MS (which captures user deposits and trading volume across connected partner brokers), the WB&amp;S broker DB for Portuguese, and the 200Invest broker DB for AR UAE/GCC.</w:t>
      </w:r>
    </w:p>
    <w:p>
      <w:pPr>
        <w:pStyle w:val="ListParagraph"/>
        <w:numPr>
          <w:ilvl w:val="0"/>
          <w:numId w:val="2"/>
        </w:numPr>
        <w:spacing w:after="80"/>
      </w:pPr>
      <w:r>
        <w:t xml:space="preserve">Worker filters by market, computes tier and rank within tier, applies display-name masking (or opt-in trader handle), and writes a per-market JSON file to the CDN.</w:t>
      </w:r>
    </w:p>
    <w:p>
      <w:pPr>
        <w:pStyle w:val="ListParagraph"/>
        <w:numPr>
          <w:ilvl w:val="0"/>
          <w:numId w:val="2"/>
        </w:numPr>
        <w:spacing w:after="80"/>
      </w:pPr>
      <w:r>
        <w:t xml:space="preserve">Frontend fetches the relevant JSON on page load and polls every 60 seconds.</w:t>
      </w:r>
    </w:p>
    <w:p>
      <w:pPr>
        <w:pStyle w:val="ListParagraph"/>
        <w:numPr>
          <w:ilvl w:val="0"/>
          <w:numId w:val="2"/>
        </w:numPr>
        <w:spacing w:after="80"/>
      </w:pPr>
      <w:r>
        <w:t xml:space="preserve">CDN cache headers: 60-second TTL.</w:t>
      </w:r>
    </w:p>
    <w:p>
      <w:pPr>
        <w:pStyle w:val="ListParagraph"/>
        <w:numPr>
          <w:ilvl w:val="0"/>
          <w:numId w:val="2"/>
        </w:numPr>
        <w:spacing w:after="80"/>
      </w:pPr>
      <w:r>
        <w:t xml:space="preserve">Same cron job also evaluates trigger-email conditions per user (see below) and dispatches to the email platform via API.</w:t>
      </w:r>
    </w:p>
    <w:p>
      <w:pPr>
        <w:pStyle w:val="Heading3"/>
      </w:pPr>
      <w:r>
        <w:t xml:space="preserve">Triggered emails — fired by the cron job, not by schedule</w:t>
      </w:r>
    </w:p>
    <w:p>
      <w:pPr>
        <w:spacing w:after="140"/>
      </w:pPr>
      <w:r>
        <w:t xml:space="preserve">In addition to the two broadcast emails (pre-launch and launch), the cron job evaluates trigger conditions per user every cycle and dispatches an email when a condition is met for the first time. Each user can receive each trigger at most once per competition.</w:t>
      </w:r>
    </w:p>
    <w:p>
      <w:pPr>
        <w:pStyle w:val="ListParagraph"/>
        <w:numPr>
          <w:ilvl w:val="0"/>
          <w:numId w:val="2"/>
        </w:numPr>
        <w:spacing w:after="80"/>
      </w:pPr>
      <w:r>
        <w:rPr>
          <w:b/>
          <w:bCs/>
        </w:rPr>
        <w:t xml:space="preserve">Post-deposit welcome (tier education): </w:t>
      </w:r>
      <w:r>
        <w:t xml:space="preserve">fires the moment a user makes their first qualifying deposit during the warm-up or competition window. Explains the tier mechanic, shows where this deposit places them now, and tells them exactly how much more deposit is needed to reach the next tier. “You’re in. You’re currently in Tier 1 with $X. Deposit $Y more to climb to Tier 2 — and Tier 3 unlocks the top prize pool.” This is the most important triggered email — it converts a one-time depositor into a multi-deposit climber.</w:t>
      </w:r>
    </w:p>
    <w:p>
      <w:pPr>
        <w:pStyle w:val="ListParagraph"/>
        <w:numPr>
          <w:ilvl w:val="0"/>
          <w:numId w:val="2"/>
        </w:numPr>
        <w:spacing w:after="80"/>
      </w:pPr>
      <w:r>
        <w:rPr>
          <w:b/>
          <w:bCs/>
        </w:rPr>
        <w:t xml:space="preserve">Tier proximity: </w:t>
      </w:r>
      <w:r>
        <w:t xml:space="preserve">fires when a user is within 15% of the next tier threshold. Subject pattern: “You’re $X away from Tier 2.”</w:t>
      </w:r>
    </w:p>
    <w:p>
      <w:pPr>
        <w:pStyle w:val="ListParagraph"/>
        <w:numPr>
          <w:ilvl w:val="0"/>
          <w:numId w:val="2"/>
        </w:numPr>
        <w:spacing w:after="80"/>
      </w:pPr>
      <w:r>
        <w:rPr>
          <w:b/>
          <w:bCs/>
        </w:rPr>
        <w:t xml:space="preserve">Rank movement: </w:t>
      </w:r>
      <w:r>
        <w:t xml:space="preserve">fires when a user’s rank within their tier improves by 5+ positions since the previous day. Subject pattern: “You moved up the leaderboard today.”</w:t>
      </w:r>
    </w:p>
    <w:p>
      <w:pPr>
        <w:pStyle w:val="ListParagraph"/>
        <w:numPr>
          <w:ilvl w:val="0"/>
          <w:numId w:val="2"/>
        </w:numPr>
        <w:spacing w:after="80"/>
      </w:pPr>
      <w:r>
        <w:rPr>
          <w:b/>
          <w:bCs/>
        </w:rPr>
        <w:t xml:space="preserve">Tier closing: </w:t>
      </w:r>
      <w:r>
        <w:t xml:space="preserve">fires on 16 July for users in the lower 50% of their tier. Subject pattern: “3 days left to climb.”</w:t>
      </w:r>
    </w:p>
    <w:p>
      <w:pPr>
        <w:pStyle w:val="Heading3"/>
      </w:pPr>
      <w:r>
        <w:t xml:space="preserve">The depositor journey — educate them to climb</w:t>
      </w:r>
    </w:p>
    <w:p>
      <w:pPr>
        <w:spacing w:after="140"/>
      </w:pPr>
      <w:r>
        <w:t xml:space="preserve">The single biggest lever for total deposit volume is converting a one-time depositor into a climber. The Post-deposit welcome email above does the heavy lifting, but the principle should be visible across the LP, dashboard, and emails: every depositor sees their current tier, the next tier threshold, and the prize tier they unlock by climbing. Make the path explicit and visible at every touchpoint:</w:t>
      </w:r>
    </w:p>
    <w:p>
      <w:pPr>
        <w:pStyle w:val="ListParagraph"/>
        <w:numPr>
          <w:ilvl w:val="0"/>
          <w:numId w:val="2"/>
        </w:numPr>
        <w:spacing w:after="80"/>
      </w:pPr>
      <w:r>
        <w:t xml:space="preserve">Landing page “Your rank” widget shows current tier + bar to next tier with the dollar gap clearly stated.</w:t>
      </w:r>
    </w:p>
    <w:p>
      <w:pPr>
        <w:pStyle w:val="ListParagraph"/>
        <w:numPr>
          <w:ilvl w:val="0"/>
          <w:numId w:val="2"/>
        </w:numPr>
        <w:spacing w:after="80"/>
      </w:pPr>
      <w:r>
        <w:t xml:space="preserve">Logged-in dashboard surfaces the same widget, updated every 15 minutes alongside the leaderboard refresh.</w:t>
      </w:r>
    </w:p>
    <w:p>
      <w:pPr>
        <w:pStyle w:val="ListParagraph"/>
        <w:numPr>
          <w:ilvl w:val="0"/>
          <w:numId w:val="2"/>
        </w:numPr>
        <w:spacing w:after="80"/>
      </w:pPr>
      <w:r>
        <w:t xml:space="preserve">Post-deposit confirmation page (immediately after a successful deposit) shows: “This deposit took you from $X to $Y. You’re in Tier N. Climb to Tier N+1 at $Z to unlock the next prize pool.”</w:t>
      </w:r>
    </w:p>
    <w:p>
      <w:pPr>
        <w:pStyle w:val="ListParagraph"/>
        <w:numPr>
          <w:ilvl w:val="0"/>
          <w:numId w:val="2"/>
        </w:numPr>
        <w:spacing w:after="80"/>
      </w:pPr>
      <w:r>
        <w:t xml:space="preserve">Post-deposit welcome email reinforces the same message in the inbox within minutes.</w:t>
      </w:r>
    </w:p>
    <w:p>
      <w:pPr>
        <w:pStyle w:val="ListParagraph"/>
        <w:numPr>
          <w:ilvl w:val="0"/>
          <w:numId w:val="2"/>
        </w:numPr>
        <w:spacing w:after="80"/>
      </w:pPr>
      <w:r>
        <w:t xml:space="preserve">Tier-proximity triggered email closes the loop when they’re near.</w:t>
      </w:r>
    </w:p>
    <w:p>
      <w:pPr>
        <w:pStyle w:val="Heading3"/>
      </w:pPr>
      <w:r>
        <w:t xml:space="preserve">Suggested JSON shape</w:t>
      </w:r>
    </w:p>
    <w:p>
      <w:pPr>
        <w:shd w:fill="F4F6F9" w:val="clear"/>
        <w:spacing w:after="200"/>
      </w:pPr>
      <w:r>
        <w:rPr>
          <w:rFonts w:ascii="Consolas" w:cs="Consolas" w:eastAsia="Consolas" w:hAnsi="Consolas"/>
          <w:sz w:val="18"/>
          <w:szCs w:val="18"/>
        </w:rPr>
        <w:t xml:space="preserve">{
  "market": "jp",
  "brand": "braintrade",
  "last_updated": "2026-06-15T10:30:00Z",
  "tiers": {
    "tier_1": [
      { "rank": 1, "handle": "Y***i K.", "volume_usd": 245000, "deposit_usd": 18500 }
    ],
    "tier_2": [],
    "tier_3": []
  },
  "totals": { "tier_1_participants": 23, "tier_2_participants": 187, "tier_3_participants": 612 }
}</w:t>
      </w:r>
    </w:p>
    <w:p>
      <w:pPr>
        <w:pStyle w:val="Heading2"/>
      </w:pPr>
      <w:r>
        <w:rPr>
          <w:color w:val="1F3A5F"/>
        </w:rPr>
        <w:t xml:space="preserve">User settings &amp; consent</w:t>
      </w:r>
    </w:p>
    <w:p>
      <w:pPr>
        <w:pStyle w:val="ListParagraph"/>
        <w:numPr>
          <w:ilvl w:val="0"/>
          <w:numId w:val="2"/>
        </w:numPr>
        <w:spacing w:after="80"/>
      </w:pPr>
      <w:r>
        <w:t xml:space="preserve">Leaderboard opt-in shown during registration and in existing-user account settings.</w:t>
      </w:r>
    </w:p>
    <w:p>
      <w:pPr>
        <w:pStyle w:val="ListParagraph"/>
        <w:numPr>
          <w:ilvl w:val="0"/>
          <w:numId w:val="2"/>
        </w:numPr>
        <w:spacing w:after="80"/>
      </w:pPr>
      <w:r>
        <w:t xml:space="preserve">Default: opt-in, with a clearly visible checkbox to opt out.</w:t>
      </w:r>
    </w:p>
    <w:p>
      <w:pPr>
        <w:pStyle w:val="ListParagraph"/>
        <w:numPr>
          <w:ilvl w:val="0"/>
          <w:numId w:val="2"/>
        </w:numPr>
        <w:spacing w:after="80"/>
      </w:pPr>
      <w:r>
        <w:t xml:space="preserve">Opt-out propagates within 15 minutes (next cron cycle).</w:t>
      </w:r>
    </w:p>
    <w:p>
      <w:pPr>
        <w:pStyle w:val="ListParagraph"/>
        <w:numPr>
          <w:ilvl w:val="0"/>
          <w:numId w:val="2"/>
        </w:numPr>
        <w:spacing w:after="80"/>
      </w:pPr>
      <w:r>
        <w:t xml:space="preserve">“Your rank” widget on logged-in dashboards as an ongoing engagement driver.</w:t>
      </w:r>
    </w:p>
    <w:p>
      <w:pPr>
        <w:pStyle w:val="Heading2"/>
      </w:pPr>
      <w:r>
        <w:rPr>
          <w:color w:val="1F3A5F"/>
        </w:rPr>
        <w:t xml:space="preserve">Data &amp; security</w:t>
      </w:r>
    </w:p>
    <w:p>
      <w:pPr>
        <w:pStyle w:val="ListParagraph"/>
        <w:numPr>
          <w:ilvl w:val="0"/>
          <w:numId w:val="2"/>
        </w:numPr>
        <w:spacing w:after="80"/>
      </w:pPr>
      <w:r>
        <w:t xml:space="preserve">Never expose raw user IDs or unmasked full names in the JSON feed.</w:t>
      </w:r>
    </w:p>
    <w:p>
      <w:pPr>
        <w:pStyle w:val="ListParagraph"/>
        <w:numPr>
          <w:ilvl w:val="0"/>
          <w:numId w:val="2"/>
        </w:numPr>
        <w:spacing w:after="80"/>
      </w:pPr>
      <w:r>
        <w:t xml:space="preserve">All ranking computed server-side; the frontend only renders.</w:t>
      </w:r>
    </w:p>
    <w:p>
      <w:pPr>
        <w:pStyle w:val="ListParagraph"/>
        <w:numPr>
          <w:ilvl w:val="0"/>
          <w:numId w:val="2"/>
        </w:numPr>
        <w:spacing w:after="80"/>
      </w:pPr>
      <w:r>
        <w:t xml:space="preserve">Wash trades and self-trades disqualified server-side before they enter the volume calculation — confirm rule with risk/dealing desk.</w:t>
      </w:r>
    </w:p>
    <w:p>
      <w:pPr>
        <w:pStyle w:val="ListParagraph"/>
        <w:numPr>
          <w:ilvl w:val="0"/>
          <w:numId w:val="2"/>
        </w:numPr>
        <w:spacing w:after="80"/>
      </w:pPr>
      <w:r>
        <w:t xml:space="preserve">KYC status flag: only fully verified accounts appear on the leaderboard and qualify for prizes.</w:t>
      </w:r>
    </w:p>
    <w:p>
      <w:pPr>
        <w:pStyle w:val="ListParagraph"/>
        <w:numPr>
          <w:ilvl w:val="0"/>
          <w:numId w:val="2"/>
        </w:numPr>
        <w:spacing w:after="80"/>
      </w:pPr>
      <w:r>
        <w:t xml:space="preserve">For BrainTrade markets: confirm with the BT platform team how aggregated deposit and volume data flows from connected partner brokers into the BT layer — including refresh latency and any reconciliation lag between broker and platform. This determines how live the JP/TH/MS leaderboards can actually be.</w:t>
      </w:r>
    </w:p>
    <w:p>
      <w:pPr>
        <w:pStyle w:val="ListParagraph"/>
        <w:numPr>
          <w:ilvl w:val="0"/>
          <w:numId w:val="2"/>
        </w:numPr>
        <w:spacing w:after="80"/>
      </w:pPr>
      <w:r>
        <w:t xml:space="preserve">Daily snapshot of per-market leaderboard saved to internal reporting DB for audit.</w:t>
      </w:r>
    </w:p>
    <w:p>
      <w:pPr>
        <w:pStyle w:val="ListParagraph"/>
        <w:numPr>
          <w:ilvl w:val="0"/>
          <w:numId w:val="2"/>
        </w:numPr>
        <w:spacing w:after="80"/>
      </w:pPr>
      <w:r>
        <w:t xml:space="preserve">Final leaderboard locks at 30 June 23:59 UTC.</w:t>
      </w:r>
    </w:p>
    <w:p>
      <w:pPr>
        <w:pStyle w:val="Heading1"/>
      </w:pPr>
      <w:r>
        <w:rPr>
          <w:color w:val="1F3A5F"/>
        </w:rPr>
        <w:t xml:space="preserve">6. Operations Team — Legal, Prizes, Logistics</w:t>
      </w:r>
    </w:p>
    <w:p>
      <w:pPr>
        <w:spacing w:after="140"/>
      </w:pPr>
      <w:r>
        <w:rPr>
          <w:b/>
          <w:bCs/>
        </w:rPr>
        <w:t xml:space="preserve">Owner: </w:t>
      </w:r>
      <w:r>
        <w:t xml:space="preserve">[Ops Lead]    </w:t>
      </w:r>
      <w:r>
        <w:rPr>
          <w:b/>
          <w:bCs/>
        </w:rPr>
        <w:t xml:space="preserve">Target delivery: </w:t>
      </w:r>
      <w:r>
        <w:t xml:space="preserve">Legal sign-off by 22 May; prizes ordered by 25 May</w:t>
      </w:r>
    </w:p>
    <w:p>
      <w:pPr>
        <w:pStyle w:val="Heading2"/>
      </w:pPr>
      <w:r>
        <w:rPr>
          <w:color w:val="1F3A5F"/>
        </w:rPr>
        <w:t xml:space="preserve">Legal &amp; compliance — highest priority</w:t>
      </w:r>
    </w:p>
    <w:p>
      <w:pPr>
        <w:spacing w:after="140"/>
      </w:pPr>
      <w:r>
        <w:rPr>
          <w:b/>
          <w:bCs/>
        </w:rPr>
        <w:t xml:space="preserve">Per-market compliance review is required before any creative ships.</w:t>
      </w:r>
      <w:r>
        <w:t xml:space="preserve"> Each of the six markets has independent rules:</w:t>
      </w:r>
    </w:p>
    <w:p>
      <w:pPr>
        <w:pStyle w:val="ListParagraph"/>
        <w:numPr>
          <w:ilvl w:val="0"/>
          <w:numId w:val="2"/>
        </w:numPr>
        <w:spacing w:after="80"/>
      </w:pPr>
      <w:r>
        <w:t xml:space="preserve">UAE — SCA prize promotion rules; promotional approvals may be needed.</w:t>
      </w:r>
    </w:p>
    <w:p>
      <w:pPr>
        <w:pStyle w:val="ListParagraph"/>
        <w:numPr>
          <w:ilvl w:val="0"/>
          <w:numId w:val="2"/>
        </w:numPr>
        <w:spacing w:after="80"/>
      </w:pPr>
      <w:r>
        <w:t xml:space="preserve">GCC (Kuwait, Qatar, Oman, Bahrain) — each has separate rules; confirm 200Invest’s license framework covers promotional competitions in each.</w:t>
      </w:r>
    </w:p>
    <w:p>
      <w:pPr>
        <w:pStyle w:val="ListParagraph"/>
        <w:numPr>
          <w:ilvl w:val="0"/>
          <w:numId w:val="2"/>
        </w:numPr>
        <w:spacing w:after="80"/>
      </w:pPr>
      <w:r>
        <w:t xml:space="preserve">Thailand, Malaysia, Japan — BrainTrade operating framework + local promotion rules.</w:t>
      </w:r>
    </w:p>
    <w:p>
      <w:pPr>
        <w:pStyle w:val="ListParagraph"/>
        <w:numPr>
          <w:ilvl w:val="0"/>
          <w:numId w:val="2"/>
        </w:numPr>
        <w:spacing w:after="80"/>
      </w:pPr>
      <w:r>
        <w:t xml:space="preserve">Portuguese — confirm market is Brazil (CVM), Portugal (CMVM), or Lusophone Africa; each has different requirements.</w:t>
      </w:r>
    </w:p>
    <w:p>
      <w:pPr>
        <w:spacing w:after="140"/>
      </w:pPr>
      <w:r>
        <w:rPr>
          <w:b/>
          <w:bCs/>
        </w:rPr>
        <w:t xml:space="preserve">Partner broker sign-off (BrainTrade markets): </w:t>
      </w:r>
      <w:r>
        <w:t xml:space="preserve">confirm with each partner broker connected through BrainTrade in JP/TH/MS that they consent to their users being featured on a BT-branded leaderboard, and that the promotion is compatible with the broker’s own regulatory framework. The BT-as-platform structure means the regulated entity for the deposit relationship is the partner broker, not BT — promotional approval may need to come from the partner broker side.</w:t>
      </w:r>
    </w:p>
    <w:p>
      <w:pPr>
        <w:spacing w:after="140"/>
      </w:pPr>
      <w:r>
        <w:rPr>
          <w:b/>
          <w:bCs/>
        </w:rPr>
        <w:t xml:space="preserve">Framing requirement: </w:t>
      </w:r>
      <w:r>
        <w:t xml:space="preserve">all three competitions are consistently described as trading volume competitions with deposit-based tier qualification — not deposit bonuses or deposit-to-win promotions. This wording must be identical across LPs, T&amp;Cs, ads, and emails for every brand.</w:t>
      </w:r>
    </w:p>
    <w:p>
      <w:pPr>
        <w:pStyle w:val="Heading3"/>
      </w:pPr>
      <w:r>
        <w:t xml:space="preserve">T&amp;Cs — one framework, three brand voices, six jurisdictional inserts</w:t>
      </w:r>
    </w:p>
    <w:p>
      <w:pPr>
        <w:spacing w:after="140"/>
      </w:pPr>
      <w:r>
        <w:t xml:space="preserve">Substance is identical across all brands and markets — wash-trade exclusion, KYC, disqualification, governing law. Build one master T&amp;Cs framework with placeholders [ENTITY], [JURISDICTION], [GOVERNING_LAW]. Legal counsel fills in six market versions; brand voice differentiation lives in the LP copy, not the T&amp;Cs.</w:t>
      </w:r>
    </w:p>
    <w:p>
      <w:pPr>
        <w:spacing w:after="140"/>
      </w:pPr>
      <w:r>
        <w:t xml:space="preserve">Framework must cover:</w:t>
      </w:r>
    </w:p>
    <w:p>
      <w:pPr>
        <w:pStyle w:val="ListParagraph"/>
        <w:numPr>
          <w:ilvl w:val="0"/>
          <w:numId w:val="2"/>
        </w:numPr>
        <w:spacing w:after="80"/>
      </w:pPr>
      <w:r>
        <w:t xml:space="preserve">Eligibility by jurisdiction and age</w:t>
      </w:r>
    </w:p>
    <w:p>
      <w:pPr>
        <w:pStyle w:val="ListParagraph"/>
        <w:numPr>
          <w:ilvl w:val="0"/>
          <w:numId w:val="2"/>
        </w:numPr>
        <w:spacing w:after="80"/>
      </w:pPr>
      <w:r>
        <w:t xml:space="preserve">KYC verification requirement before prize payout</w:t>
      </w:r>
    </w:p>
    <w:p>
      <w:pPr>
        <w:pStyle w:val="ListParagraph"/>
        <w:numPr>
          <w:ilvl w:val="0"/>
          <w:numId w:val="2"/>
        </w:numPr>
        <w:spacing w:after="80"/>
      </w:pPr>
      <w:r>
        <w:t xml:space="preserve">Exclusion of wash trades, self-trades, hedged-position volume</w:t>
      </w:r>
    </w:p>
    <w:p>
      <w:pPr>
        <w:pStyle w:val="ListParagraph"/>
        <w:numPr>
          <w:ilvl w:val="0"/>
          <w:numId w:val="2"/>
        </w:numPr>
        <w:spacing w:after="80"/>
      </w:pPr>
      <w:r>
        <w:t xml:space="preserve">Bonus or credit funds excluded from tier qualification</w:t>
      </w:r>
    </w:p>
    <w:p>
      <w:pPr>
        <w:pStyle w:val="ListParagraph"/>
        <w:numPr>
          <w:ilvl w:val="0"/>
          <w:numId w:val="2"/>
        </w:numPr>
        <w:spacing w:after="80"/>
      </w:pPr>
      <w:r>
        <w:t xml:space="preserve">Right to disqualify at company discretion</w:t>
      </w:r>
    </w:p>
    <w:p>
      <w:pPr>
        <w:pStyle w:val="ListParagraph"/>
        <w:numPr>
          <w:ilvl w:val="0"/>
          <w:numId w:val="2"/>
        </w:numPr>
        <w:spacing w:after="80"/>
      </w:pPr>
      <w:r>
        <w:t xml:space="preserve">Prize tax responsibility on the winner</w:t>
      </w:r>
    </w:p>
    <w:p>
      <w:pPr>
        <w:pStyle w:val="ListParagraph"/>
        <w:numPr>
          <w:ilvl w:val="0"/>
          <w:numId w:val="2"/>
        </w:numPr>
        <w:spacing w:after="80"/>
      </w:pPr>
      <w:r>
        <w:t xml:space="preserve">Data processing and leaderboard display consent</w:t>
      </w:r>
    </w:p>
    <w:p>
      <w:pPr>
        <w:pStyle w:val="ListParagraph"/>
        <w:numPr>
          <w:ilvl w:val="0"/>
          <w:numId w:val="2"/>
        </w:numPr>
        <w:spacing w:after="80"/>
      </w:pPr>
      <w:r>
        <w:t xml:space="preserve">Prize delivery timeline (recommend 30 days post-competition)</w:t>
      </w:r>
    </w:p>
    <w:p>
      <w:pPr>
        <w:pStyle w:val="ListParagraph"/>
        <w:numPr>
          <w:ilvl w:val="0"/>
          <w:numId w:val="2"/>
        </w:numPr>
        <w:spacing w:after="80"/>
      </w:pPr>
      <w:r>
        <w:t xml:space="preserve">Governing law per market</w:t>
      </w:r>
    </w:p>
    <w:p>
      <w:pPr>
        <w:pStyle w:val="ListParagraph"/>
        <w:numPr>
          <w:ilvl w:val="0"/>
          <w:numId w:val="2"/>
        </w:numPr>
        <w:spacing w:after="80"/>
      </w:pPr>
      <w:r>
        <w:rPr>
          <w:b/>
          <w:bCs/>
        </w:rPr>
        <w:t xml:space="preserve">Warm-up period clause: </w:t>
      </w:r>
      <w:r>
        <w:t xml:space="preserve">deposits made between 25–31 May 2026 count toward tier qualification on 1 June.</w:t>
      </w:r>
    </w:p>
    <w:p>
      <w:pPr>
        <w:pStyle w:val="Heading2"/>
      </w:pPr>
      <w:r>
        <w:rPr>
          <w:color w:val="1F3A5F"/>
        </w:rPr>
        <w:t xml:space="preserve">Prizes — digital-only (vouchers, tickets, experiences)</w:t>
      </w:r>
    </w:p>
    <w:p>
      <w:pPr>
        <w:spacing w:after="140"/>
      </w:pPr>
      <w:r>
        <w:rPr>
          <w:b/>
          <w:bCs/>
        </w:rPr>
        <w:t xml:space="preserve">No physical goods. </w:t>
      </w:r>
      <w:r>
        <w:t xml:space="preserve">All prizes are delivered as digital codes — vouchers, ticket confirmations, or experience reservation codes — by email within days of the result. This eliminates customs delays, shipping risk, and per-market logistics complexity, and lets winners share or redeem instantly.</w:t>
      </w:r>
    </w:p>
    <w:p>
      <w:pPr>
        <w:spacing w:after="140"/>
      </w:pPr>
      <w:r>
        <w:t xml:space="preserve">Confirm full prize list per tier per market for each brand by 20 May. In place of a separate Final Draw RNG: runner-up prizes for ranks 4–10 within each tier.</w:t>
      </w:r>
    </w:p>
    <w:p>
      <w:pPr>
        <w:pStyle w:val="Heading3"/>
      </w:pPr>
      <w:r>
        <w:t xml:space="preserve">Prize architecture per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200"/>
        <w:gridCol w:w="2200"/>
        <w:gridCol w:w="1260"/>
      </w:tblGrid>
      <w:tr>
        <w:trPr>
          <w:tblHeader/>
        </w:trPr>
        <w:tc>
          <w:tcPr>
            <w:tcW w:type="dxa" w:w="2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Brand</w:t>
            </w:r>
          </w:p>
        </w:tc>
        <w:tc>
          <w:tcPr>
            <w:tcW w:type="dxa" w:w="17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Tier 1 (entry)</w:t>
            </w:r>
          </w:p>
        </w:tc>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Tier 2 (mid)</w:t>
            </w:r>
          </w:p>
        </w:tc>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Tier 3 (top)</w:t>
            </w:r>
          </w:p>
        </w:tc>
        <w:tc>
          <w:tcPr>
            <w:tcW w:type="dxa" w:w="12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Runner-up (4–10)</w:t>
            </w:r>
          </w:p>
        </w:tc>
      </w:tr>
      <w:tr>
        <w:tc>
          <w:tcPr>
            <w:tcW w:type="dxa" w:w="20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BrainTrade — Champions Cup</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Local marketplace gift vouchers</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Premium travel voucher OR mid-luxury hotel stay voucher</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World Cup semi-final / final ticket package OR luxury resort voucher</w:t>
            </w:r>
          </w:p>
        </w:tc>
        <w:tc>
          <w:tcPr>
            <w:tcW w:type="dxa" w:w="12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Smaller local marketplace or food-delivery vouchers</w:t>
            </w:r>
          </w:p>
        </w:tc>
      </w:tr>
      <w:tr>
        <w:tc>
          <w:tcPr>
            <w:tcW w:type="dxa" w:w="20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WB&amp;S — Premier Trophy</w:t>
            </w:r>
          </w:p>
        </w:tc>
        <w:tc>
          <w:tcPr>
            <w:tcW w:type="dxa" w:w="17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Department-store gift vouchers</w:t>
            </w:r>
          </w:p>
        </w:tc>
        <w:tc>
          <w:tcPr>
            <w:tcW w:type="dxa" w:w="22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Premium travel voucher (TAP / LATAM) OR fine-dining gift voucher</w:t>
            </w:r>
          </w:p>
        </w:tc>
        <w:tc>
          <w:tcPr>
            <w:tcW w:type="dxa" w:w="22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World Cup semi-final / final corporate-box ticket OR heritage hotel voucher</w:t>
            </w:r>
          </w:p>
        </w:tc>
        <w:tc>
          <w:tcPr>
            <w:tcW w:type="dxa" w:w="12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Marketplace or food-delivery vouchers</w:t>
            </w:r>
          </w:p>
        </w:tc>
      </w:tr>
      <w:tr>
        <w:tc>
          <w:tcPr>
            <w:tcW w:type="dxa" w:w="20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200Invest — Falcons Cup</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Marketplace gift vouchers</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Premium airline voucher (Emirates / Qatar) OR luxury hotel stay voucher</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World Cup semi-final / final ticket package OR flagship Gulf hotel voucher</w:t>
            </w:r>
          </w:p>
        </w:tc>
        <w:tc>
          <w:tcPr>
            <w:tcW w:type="dxa" w:w="12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Local marketplace or food-delivery vouchers</w:t>
            </w:r>
          </w:p>
        </w:tc>
      </w:tr>
    </w:tbl>
    <w:p>
      <w:pPr>
        <w:spacing w:after="120"/>
      </w:pPr>
      <w:r>
        <w:t xml:space="preserve"/>
      </w:r>
    </w:p>
    <w:p>
      <w:pPr>
        <w:pStyle w:val="Heading3"/>
      </w:pPr>
      <w:r>
        <w:t xml:space="preserve">Market-specific voucher / partner suggestions</w:t>
      </w:r>
    </w:p>
    <w:p>
      <w:pPr>
        <w:spacing w:after="140"/>
      </w:pPr>
      <w:r>
        <w:t xml:space="preserve">Operations confirms final partners during procurement. The list below is the shortlist by market — each is a known, redeemable digital voucher provider with strong consumer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Market</w:t>
            </w:r>
          </w:p>
        </w:tc>
        <w:tc>
          <w:tcPr>
            <w:tcW w:type="dxa" w:w="34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Tier 1 / runner-up partners (entry-level vouchers)</w:t>
            </w:r>
          </w:p>
        </w:tc>
        <w:tc>
          <w:tcPr>
            <w:tcW w:type="dxa" w:w="34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Tier 2 / Tier 3 anchors (top experiences)</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BrainTrade Japan</w:t>
            </w:r>
          </w:p>
        </w:tc>
        <w:tc>
          <w:tcPr>
            <w:tcW w:type="dxa" w:w="348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Rakuten gift cards; Amazon JP gift cards; Starbucks JP; UNIQLO digital gift cards; Uber Eats JP</w:t>
            </w:r>
          </w:p>
        </w:tc>
        <w:tc>
          <w:tcPr>
            <w:tcW w:type="dxa" w:w="348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World Cup tickets via Anthony Travel / official resale; Hoshino Resorts vouchers; ANA / JAL flight vouchers; JTB Travel vouchers</w:t>
            </w:r>
          </w:p>
        </w:tc>
      </w:tr>
      <w:tr>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BrainTrade Thailand</w:t>
            </w:r>
          </w:p>
        </w:tc>
        <w:tc>
          <w:tcPr>
            <w:tcW w:type="dxa" w:w="348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Central Group e-vouchers; Lazada TH; Grab gift cards; 7-Eleven TH; Foodpanda TH</w:t>
            </w:r>
          </w:p>
        </w:tc>
        <w:tc>
          <w:tcPr>
            <w:tcW w:type="dxa" w:w="348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World Cup tickets; Banyan Tree / Anantara resort vouchers (Phuket, Koh Samui); Singapore Airlines vouchers</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BrainTrade Malaysia</w:t>
            </w:r>
          </w:p>
        </w:tc>
        <w:tc>
          <w:tcPr>
            <w:tcW w:type="dxa" w:w="348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Zalora MY; Lazada MY; Shopee MY; GrabFood MY; AEON e-gift cards</w:t>
            </w:r>
          </w:p>
        </w:tc>
        <w:tc>
          <w:tcPr>
            <w:tcW w:type="dxa" w:w="348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World Cup tickets; Ritz-Carlton Langkawi or Four Seasons Langkawi vouchers; AirAsia X / Singapore Airlines vouchers</w:t>
            </w:r>
          </w:p>
        </w:tc>
      </w:tr>
      <w:tr>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WB&amp;S Portuguese</w:t>
            </w:r>
          </w:p>
        </w:tc>
        <w:tc>
          <w:tcPr>
            <w:tcW w:type="dxa" w:w="348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El Corte Inglés (PT) or Magazine Luiza (BR); FNAC; iFood (BR) / Glovo (PT); Continente or Casas Bahia gift vouchers</w:t>
            </w:r>
          </w:p>
        </w:tc>
        <w:tc>
          <w:tcPr>
            <w:tcW w:type="dxa" w:w="348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World Cup tickets (corporate-box package); heritage hotel vouchers (Six Senses Douro Valley / Copacabana Palace, geography-dependent); TAP Portugal / LATAM vouchers</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200Invest UAE &amp; GCC</w:t>
            </w:r>
          </w:p>
        </w:tc>
        <w:tc>
          <w:tcPr>
            <w:tcW w:type="dxa" w:w="348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Carrefour ME gift cards; Noon.com vouchers; Talabat credit; Careem credit; Amazon.ae gift cards; Lulu Hypermarket vouchers</w:t>
            </w:r>
          </w:p>
        </w:tc>
        <w:tc>
          <w:tcPr>
            <w:tcW w:type="dxa" w:w="348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World Cup tickets; Burj Al Arab / Four Seasons Doha / St. Regis vouchers; Emirates or Qatar Airways flight vouchers</w:t>
            </w:r>
          </w:p>
        </w:tc>
      </w:tr>
    </w:tbl>
    <w:p>
      <w:pPr>
        <w:spacing w:after="120"/>
      </w:pPr>
      <w:r>
        <w:t xml:space="preserve"/>
      </w:r>
    </w:p>
    <w:p>
      <w:pPr>
        <w:pStyle w:val="Heading3"/>
      </w:pPr>
      <w:r>
        <w:t xml:space="preserve">Notes on World Cup ticket prizing</w:t>
      </w:r>
    </w:p>
    <w:p>
      <w:pPr>
        <w:spacing w:after="140"/>
      </w:pPr>
      <w:r>
        <w:rPr>
          <w:b/>
          <w:bCs/>
        </w:rPr>
        <w:t xml:space="preserve">Timing problem: </w:t>
      </w:r>
      <w:r>
        <w:t xml:space="preserve">the competition closes 19 July (same day as the World Cup final). If tickets are awarded only at end-of-competition, winners cannot use them. Solution: award football ticket prizes against </w:t>
      </w:r>
      <w:r>
        <w:rPr>
          <w:b/>
          <w:bCs/>
        </w:rPr>
        <w:t xml:space="preserve">interim leaderboard snapshots</w:t>
      </w:r>
      <w:r>
        <w:t xml:space="preserve"> taken on specific dates within the competition window. The user wins based on their ranking at the snapshot moment; the rest of the competition continues for the larger prize pool.</w:t>
      </w:r>
    </w:p>
    <w:p>
      <w:pPr>
        <w:spacing w:after="140"/>
      </w:pPr>
      <w:r>
        <w:t xml:space="preserve">Suggested snapshot schedule for football ticket prizes (each brand selects which events to award):</w:t>
      </w:r>
    </w:p>
    <w:p>
      <w:pPr>
        <w:pStyle w:val="ListParagraph"/>
        <w:numPr>
          <w:ilvl w:val="0"/>
          <w:numId w:val="2"/>
        </w:numPr>
        <w:spacing w:after="80"/>
      </w:pPr>
      <w:r>
        <w:t xml:space="preserve">Snapshot 1 — 28 June (end of group stage): top of Tier 3 wins Round-of-16 ticket package.</w:t>
      </w:r>
    </w:p>
    <w:p>
      <w:pPr>
        <w:pStyle w:val="ListParagraph"/>
        <w:numPr>
          <w:ilvl w:val="0"/>
          <w:numId w:val="2"/>
        </w:numPr>
        <w:spacing w:after="80"/>
      </w:pPr>
      <w:r>
        <w:t xml:space="preserve">Snapshot 2 — 5 July (end of round of 16): top of Tier 3 wins quarter-final ticket package.</w:t>
      </w:r>
    </w:p>
    <w:p>
      <w:pPr>
        <w:pStyle w:val="ListParagraph"/>
        <w:numPr>
          <w:ilvl w:val="0"/>
          <w:numId w:val="2"/>
        </w:numPr>
        <w:spacing w:after="80"/>
      </w:pPr>
      <w:r>
        <w:t xml:space="preserve">Snapshot 3 — 10 July (mid quarter-finals): top of Tier 3 wins semi-final ticket package.</w:t>
      </w:r>
    </w:p>
    <w:p>
      <w:pPr>
        <w:pStyle w:val="ListParagraph"/>
        <w:numPr>
          <w:ilvl w:val="0"/>
          <w:numId w:val="2"/>
        </w:numPr>
        <w:spacing w:after="80"/>
      </w:pPr>
      <w:r>
        <w:t xml:space="preserve">Snapshot 4 — 15 July (post semi-finals): top of Tier 3 wins final ticket package.</w:t>
      </w:r>
    </w:p>
    <w:p>
      <w:pPr>
        <w:pStyle w:val="ListParagraph"/>
        <w:numPr>
          <w:ilvl w:val="0"/>
          <w:numId w:val="2"/>
        </w:numPr>
        <w:spacing w:after="80"/>
      </w:pPr>
      <w:r>
        <w:t xml:space="preserve">Each snapshot includes flight + hotel voucher alongside the ticket, delivered by email within 24 hours of the snapshot.</w:t>
      </w:r>
    </w:p>
    <w:p>
      <w:pPr>
        <w:pStyle w:val="ListParagraph"/>
        <w:numPr>
          <w:ilvl w:val="0"/>
          <w:numId w:val="2"/>
        </w:numPr>
        <w:spacing w:after="80"/>
      </w:pPr>
      <w:r>
        <w:t xml:space="preserve">Procure through FIFA-approved hospitality providers (official resale only) to avoid counterfeit risk.</w:t>
      </w:r>
    </w:p>
    <w:p>
      <w:pPr>
        <w:pStyle w:val="ListParagraph"/>
        <w:numPr>
          <w:ilvl w:val="0"/>
          <w:numId w:val="2"/>
        </w:numPr>
        <w:spacing w:after="80"/>
      </w:pPr>
      <w:r>
        <w:t xml:space="preserve">Snapshot winners stay in the competition for the end-of-competition prize pool — they are not removed from the leaderboard.</w:t>
      </w:r>
    </w:p>
    <w:p>
      <w:pPr>
        <w:pStyle w:val="ListParagraph"/>
        <w:numPr>
          <w:ilvl w:val="0"/>
          <w:numId w:val="2"/>
        </w:numPr>
        <w:spacing w:after="80"/>
      </w:pPr>
      <w:r>
        <w:t xml:space="preserve">Published USD-equivalent voucher fallback in T&amp;Cs for snapshot winners who cannot travel — protects against visa / no-show issues.</w:t>
      </w:r>
    </w:p>
    <w:p>
      <w:pPr>
        <w:spacing w:after="120"/>
      </w:pPr>
      <w:r>
        <w:t xml:space="preserve"/>
      </w:r>
    </w:p>
    <w:p>
      <w:pPr>
        <w:pStyle w:val="Heading3"/>
      </w:pPr>
      <w:r>
        <w:t xml:space="preserve">Procurement</w:t>
      </w:r>
    </w:p>
    <w:p>
      <w:pPr>
        <w:pStyle w:val="ListParagraph"/>
        <w:numPr>
          <w:ilvl w:val="0"/>
          <w:numId w:val="2"/>
        </w:numPr>
        <w:spacing w:after="80"/>
      </w:pPr>
      <w:r>
        <w:t xml:space="preserve">Confirm digital voucher supplier(s) per market by 25 May. Most major chains have B2B bulk-voucher programs; football tickets go through FIFA-approved hospitality providers.</w:t>
      </w:r>
    </w:p>
    <w:p>
      <w:pPr>
        <w:pStyle w:val="ListParagraph"/>
        <w:numPr>
          <w:ilvl w:val="0"/>
          <w:numId w:val="2"/>
        </w:numPr>
        <w:spacing w:after="80"/>
      </w:pPr>
      <w:r>
        <w:t xml:space="preserve">Football ticket prizes are awarded at interim snapshots (28 June / 5 July / 10 July / 15 July) — supplier must support same-week ticket fulfillment after each snapshot. Confirm this capability with hospitality providers before locking the contract.</w:t>
      </w:r>
    </w:p>
    <w:p>
      <w:pPr>
        <w:pStyle w:val="ListParagraph"/>
        <w:numPr>
          <w:ilvl w:val="0"/>
          <w:numId w:val="2"/>
        </w:numPr>
        <w:spacing w:after="80"/>
      </w:pPr>
      <w:r>
        <w:t xml:space="preserve">Other voucher fulfillment runs same-day to 48 hours — fine for end-of-competition payout (by 2 August).</w:t>
      </w:r>
    </w:p>
    <w:p>
      <w:pPr>
        <w:pStyle w:val="ListParagraph"/>
        <w:numPr>
          <w:ilvl w:val="0"/>
          <w:numId w:val="2"/>
        </w:numPr>
        <w:spacing w:after="80"/>
      </w:pPr>
      <w:r>
        <w:t xml:space="preserve">Set prize budget cap per brand and per market against expected ROI from FTD lift.</w:t>
      </w:r>
    </w:p>
    <w:p>
      <w:pPr>
        <w:pStyle w:val="ListParagraph"/>
        <w:numPr>
          <w:ilvl w:val="0"/>
          <w:numId w:val="2"/>
        </w:numPr>
        <w:spacing w:after="80"/>
      </w:pPr>
      <w:r>
        <w:t xml:space="preserve">Build a fallback USD-equivalent voucher option into the T&amp;Cs for any prize the winner cannot redeem (e.g. cannot travel for ticket package, supplier unavailable).</w:t>
      </w:r>
    </w:p>
    <w:p>
      <w:pPr>
        <w:pStyle w:val="Heading2"/>
      </w:pPr>
      <w:r>
        <w:rPr>
          <w:color w:val="1F3A5F"/>
        </w:rPr>
        <w:t xml:space="preserve">Sales capacity &amp; tier calibration</w:t>
      </w:r>
    </w:p>
    <w:p>
      <w:pPr>
        <w:pStyle w:val="ListParagraph"/>
        <w:numPr>
          <w:ilvl w:val="0"/>
          <w:numId w:val="2"/>
        </w:numPr>
        <w:spacing w:after="80"/>
      </w:pPr>
      <w:r>
        <w:t xml:space="preserve">Pull June sales capacity figures per market by 18 May.</w:t>
      </w:r>
    </w:p>
    <w:p>
      <w:pPr>
        <w:pStyle w:val="ListParagraph"/>
        <w:numPr>
          <w:ilvl w:val="0"/>
          <w:numId w:val="2"/>
        </w:numPr>
        <w:spacing w:after="80"/>
      </w:pPr>
      <w:r>
        <w:t xml:space="preserve">Use sales capacity to calibrate tier thresholds per market — Japan and UAE will run higher minimums than Thailand and Portuguese.</w:t>
      </w:r>
    </w:p>
    <w:p>
      <w:pPr>
        <w:pStyle w:val="ListParagraph"/>
        <w:numPr>
          <w:ilvl w:val="0"/>
          <w:numId w:val="2"/>
        </w:numPr>
        <w:spacing w:after="80"/>
      </w:pPr>
      <w:r>
        <w:t xml:space="preserve">Brief sales agents on the competition mechanics by 28 May. Provide each sales team with their own brand’s materials — do not cross-share creative across brand sales teams.</w:t>
      </w:r>
    </w:p>
    <w:p>
      <w:pPr>
        <w:pStyle w:val="Heading2"/>
      </w:pPr>
      <w:r>
        <w:rPr>
          <w:color w:val="1F3A5F"/>
        </w:rPr>
        <w:t xml:space="preserve">Winner process &amp; payout</w:t>
      </w:r>
    </w:p>
    <w:p>
      <w:pPr>
        <w:pStyle w:val="ListParagraph"/>
        <w:numPr>
          <w:ilvl w:val="0"/>
          <w:numId w:val="2"/>
        </w:numPr>
        <w:spacing w:after="80"/>
      </w:pPr>
      <w:r>
        <w:t xml:space="preserve">Interim football-ticket snapshot winners awarded throughout the competition (see prize section above) — each winner receives their digital ticket + travel voucher within 24 hours of the snapshot.</w:t>
      </w:r>
    </w:p>
    <w:p>
      <w:pPr>
        <w:pStyle w:val="ListParagraph"/>
        <w:numPr>
          <w:ilvl w:val="0"/>
          <w:numId w:val="2"/>
        </w:numPr>
        <w:spacing w:after="80"/>
      </w:pPr>
      <w:r>
        <w:t xml:space="preserve">Final leaderboard locks 19 July 23:59 UTC (concurrent with the World Cup final).</w:t>
      </w:r>
    </w:p>
    <w:p>
      <w:pPr>
        <w:pStyle w:val="ListParagraph"/>
        <w:numPr>
          <w:ilvl w:val="0"/>
          <w:numId w:val="2"/>
        </w:numPr>
        <w:spacing w:after="80"/>
      </w:pPr>
      <w:r>
        <w:t xml:space="preserve">KYC re-verification of end-of-competition winners runs 20–23 July.</w:t>
      </w:r>
    </w:p>
    <w:p>
      <w:pPr>
        <w:pStyle w:val="ListParagraph"/>
        <w:numPr>
          <w:ilvl w:val="0"/>
          <w:numId w:val="2"/>
        </w:numPr>
        <w:spacing w:after="80"/>
      </w:pPr>
      <w:r>
        <w:t xml:space="preserve">Public winner announcement 26 July (Creative team produces announcement assets per brand).</w:t>
      </w:r>
    </w:p>
    <w:p>
      <w:pPr>
        <w:pStyle w:val="ListParagraph"/>
        <w:numPr>
          <w:ilvl w:val="0"/>
          <w:numId w:val="2"/>
        </w:numPr>
        <w:spacing w:after="80"/>
      </w:pPr>
      <w:r>
        <w:t xml:space="preserve">Runner-up prizes (ranks 4–10 per tier) confirmed at the same lock — no separate RNG needed.</w:t>
      </w:r>
    </w:p>
    <w:p>
      <w:pPr>
        <w:pStyle w:val="ListParagraph"/>
        <w:numPr>
          <w:ilvl w:val="0"/>
          <w:numId w:val="2"/>
        </w:numPr>
        <w:spacing w:after="80"/>
      </w:pPr>
      <w:r>
        <w:t xml:space="preserve">Digital prize codes (vouchers, experience codes) delivered to end-of-competition winners by email within 7 days of announcement — by 2 August at the latest.</w:t>
      </w:r>
    </w:p>
    <w:p>
      <w:pPr>
        <w:pStyle w:val="Heading2"/>
      </w:pPr>
      <w:r>
        <w:rPr>
          <w:color w:val="1F3A5F"/>
        </w:rPr>
        <w:t xml:space="preserve">Measurement plan — know if it worked</w:t>
      </w:r>
    </w:p>
    <w:p>
      <w:pPr>
        <w:spacing w:after="140"/>
      </w:pPr>
      <w:r>
        <w:t xml:space="preserve">Without a measurement plan, the post-mortem becomes a vibes exercise. The plan below adds zero production time — it just needs the data team briefed before launch.</w:t>
      </w:r>
    </w:p>
    <w:p>
      <w:pPr>
        <w:pStyle w:val="ListParagraph"/>
        <w:numPr>
          <w:ilvl w:val="0"/>
          <w:numId w:val="2"/>
        </w:numPr>
        <w:spacing w:after="80"/>
      </w:pPr>
      <w:r>
        <w:rPr>
          <w:b/>
          <w:bCs/>
        </w:rPr>
        <w:t xml:space="preserve">Causal read (2 control markets): </w:t>
      </w:r>
      <w:r>
        <w:t xml:space="preserve">pick two markets where 1 June – 19 July 2025 FTD data is clean and ad spend in the same window in 2026 will be roughly comparable. Measure 2026 FTDs against 2025 FTDs, normalized for spend. This is your honest answer to “did the competition lift FTDs.” Recommended: one BrainTrade market (Japan) + one broker market (Portuguese WB&amp;S or AR UAE).</w:t>
      </w:r>
    </w:p>
    <w:p>
      <w:pPr>
        <w:pStyle w:val="ListParagraph"/>
        <w:numPr>
          <w:ilvl w:val="0"/>
          <w:numId w:val="2"/>
        </w:numPr>
        <w:spacing w:after="80"/>
      </w:pPr>
      <w:r>
        <w:rPr>
          <w:b/>
          <w:bCs/>
        </w:rPr>
        <w:t xml:space="preserve">Absolute lift (remaining 4 markets): </w:t>
      </w:r>
      <w:r>
        <w:t xml:space="preserve">measure 1 June – 19 July 2026 FTDs against the 1–30 May 2026 baseline. Less rigorous but still informative.</w:t>
      </w:r>
    </w:p>
    <w:p>
      <w:pPr>
        <w:pStyle w:val="ListParagraph"/>
        <w:numPr>
          <w:ilvl w:val="0"/>
          <w:numId w:val="2"/>
        </w:numPr>
        <w:spacing w:after="80"/>
      </w:pPr>
      <w:r>
        <w:rPr>
          <w:b/>
          <w:bCs/>
        </w:rPr>
        <w:t xml:space="preserve">Engagement metrics: </w:t>
      </w:r>
      <w:r>
        <w:t xml:space="preserve">leaderboard page views, opt-in rate, tier-proximity email click-through, time-on-LP, share rate.</w:t>
      </w:r>
    </w:p>
    <w:p>
      <w:pPr>
        <w:pStyle w:val="ListParagraph"/>
        <w:numPr>
          <w:ilvl w:val="0"/>
          <w:numId w:val="2"/>
        </w:numPr>
        <w:spacing w:after="80"/>
      </w:pPr>
      <w:r>
        <w:rPr>
          <w:b/>
          <w:bCs/>
        </w:rPr>
        <w:t xml:space="preserve">Cost per FTD: </w:t>
      </w:r>
      <w:r>
        <w:t xml:space="preserve">total competition cost (prizes + creative + ad spend lift) divided by incremental FTDs above baseline. The number to defend against “do we run this again.”</w:t>
      </w:r>
    </w:p>
    <w:p>
      <w:pPr>
        <w:pStyle w:val="Heading1"/>
      </w:pPr>
      <w:r>
        <w:rPr>
          <w:color w:val="1F3A5F"/>
        </w:rPr>
        <w:t xml:space="preserve">7. Critical Path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360"/>
        <w:gridCol w:w="2400"/>
      </w:tblGrid>
      <w:tr>
        <w:trPr>
          <w:tblHeader/>
        </w:trPr>
        <w:tc>
          <w:tcPr>
            <w:tcW w:type="dxa" w:w="1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Date</w:t>
            </w:r>
          </w:p>
        </w:tc>
        <w:tc>
          <w:tcPr>
            <w:tcW w:type="dxa" w:w="53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Milestone</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Owner</w:t>
            </w:r>
          </w:p>
        </w:tc>
      </w:tr>
      <w:tr>
        <w:tc>
          <w:tcPr>
            <w:tcW w:type="dxa" w:w="1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sz w:val="20"/>
                <w:szCs w:val="20"/>
              </w:rPr>
              <w:t xml:space="preserve">18 May</w:t>
            </w:r>
          </w:p>
        </w:tc>
        <w:tc>
          <w:tcPr>
            <w:tcW w:type="dxa" w:w="53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June–July sales capacity per market delivered; data team briefed on measurement plan</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Operations</w:t>
            </w:r>
          </w:p>
        </w:tc>
      </w:tr>
      <w:tr>
        <w:tc>
          <w:tcPr>
            <w:tcW w:type="dxa" w:w="16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20 May</w:t>
            </w:r>
          </w:p>
        </w:tc>
        <w:tc>
          <w:tcPr>
            <w:tcW w:type="dxa" w:w="53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Tier thresholds confirmed per market</w:t>
            </w:r>
          </w:p>
        </w:tc>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Ops + Creative</w:t>
            </w:r>
          </w:p>
        </w:tc>
      </w:tr>
      <w:tr>
        <w:tc>
          <w:tcPr>
            <w:tcW w:type="dxa" w:w="1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20 May</w:t>
            </w:r>
          </w:p>
        </w:tc>
        <w:tc>
          <w:tcPr>
            <w:tcW w:type="dxa" w:w="53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Prize list confirmed per tier per market per brand; interim snapshot prize schedule locked</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Operations</w:t>
            </w:r>
          </w:p>
        </w:tc>
      </w:tr>
      <w:tr>
        <w:tc>
          <w:tcPr>
            <w:tcW w:type="dxa" w:w="16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bCs/>
                <w:sz w:val="20"/>
                <w:szCs w:val="20"/>
              </w:rPr>
              <w:t xml:space="preserve">22 May</w:t>
            </w:r>
          </w:p>
        </w:tc>
        <w:tc>
          <w:tcPr>
            <w:tcW w:type="dxa" w:w="53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Legal sign-off on T&amp;Cs framework + per-jurisdiction inserts</w:t>
            </w:r>
          </w:p>
        </w:tc>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Operations</w:t>
            </w:r>
          </w:p>
        </w:tc>
      </w:tr>
      <w:tr>
        <w:tc>
          <w:tcPr>
            <w:tcW w:type="dxa" w:w="1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sz w:val="20"/>
                <w:szCs w:val="20"/>
              </w:rPr>
              <w:t xml:space="preserve">22 May</w:t>
            </w:r>
          </w:p>
        </w:tc>
        <w:tc>
          <w:tcPr>
            <w:tcW w:type="dxa" w:w="53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Partner broker sign-off (BT markets)</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Operations</w:t>
            </w:r>
          </w:p>
        </w:tc>
      </w:tr>
      <w:tr>
        <w:tc>
          <w:tcPr>
            <w:tcW w:type="dxa" w:w="16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22–25 May</w:t>
            </w:r>
          </w:p>
        </w:tc>
        <w:tc>
          <w:tcPr>
            <w:tcW w:type="dxa" w:w="53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Build Phase 1: BrainTrade Japan as prototype (full LP, copy, leaderboard, dev skeleton)</w:t>
            </w:r>
          </w:p>
        </w:tc>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Creative + Dev</w:t>
            </w:r>
          </w:p>
        </w:tc>
      </w:tr>
      <w:tr>
        <w:tc>
          <w:tcPr>
            <w:tcW w:type="dxa" w:w="1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25 May</w:t>
            </w:r>
          </w:p>
        </w:tc>
        <w:tc>
          <w:tcPr>
            <w:tcW w:type="dxa" w:w="53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Prizes ordered / procurement locked</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Operations</w:t>
            </w:r>
          </w:p>
        </w:tc>
      </w:tr>
      <w:tr>
        <w:tc>
          <w:tcPr>
            <w:tcW w:type="dxa" w:w="16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bCs/>
                <w:sz w:val="20"/>
                <w:szCs w:val="20"/>
              </w:rPr>
              <w:t xml:space="preserve">25 May</w:t>
            </w:r>
          </w:p>
        </w:tc>
        <w:tc>
          <w:tcPr>
            <w:tcW w:type="dxa" w:w="53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bCs/>
                <w:sz w:val="20"/>
                <w:szCs w:val="20"/>
              </w:rPr>
              <w:t xml:space="preserve">Warm-up banners go live with countdown + head-start deposit credit</w:t>
            </w:r>
          </w:p>
        </w:tc>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Dev + Creative</w:t>
            </w:r>
          </w:p>
        </w:tc>
      </w:tr>
      <w:tr>
        <w:tc>
          <w:tcPr>
            <w:tcW w:type="dxa" w:w="1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25–28 May</w:t>
            </w:r>
          </w:p>
        </w:tc>
        <w:tc>
          <w:tcPr>
            <w:tcW w:type="dxa" w:w="53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Build Phase 2: WB&amp;S Portuguese + 200Invest Arabic (de-risks PT compliance + RTL)</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Creative + Dev</w:t>
            </w:r>
          </w:p>
        </w:tc>
      </w:tr>
      <w:tr>
        <w:tc>
          <w:tcPr>
            <w:tcW w:type="dxa" w:w="16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28 May</w:t>
            </w:r>
          </w:p>
        </w:tc>
        <w:tc>
          <w:tcPr>
            <w:tcW w:type="dxa" w:w="53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Sales teams briefed (per brand)</w:t>
            </w:r>
          </w:p>
        </w:tc>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Operations</w:t>
            </w:r>
          </w:p>
        </w:tc>
      </w:tr>
      <w:tr>
        <w:tc>
          <w:tcPr>
            <w:tcW w:type="dxa" w:w="1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28 May</w:t>
            </w:r>
          </w:p>
        </w:tc>
        <w:tc>
          <w:tcPr>
            <w:tcW w:type="dxa" w:w="53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Pre-launch broadcast email sent (per brand)</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Creative + Dev</w:t>
            </w:r>
          </w:p>
        </w:tc>
      </w:tr>
      <w:tr>
        <w:tc>
          <w:tcPr>
            <w:tcW w:type="dxa" w:w="16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28–31 May</w:t>
            </w:r>
          </w:p>
        </w:tc>
        <w:tc>
          <w:tcPr>
            <w:tcW w:type="dxa" w:w="53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Build Phase 3: BrainTrade Thai + Malay (theme + localization variants of Phase 1)</w:t>
            </w:r>
          </w:p>
        </w:tc>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Creative + Dev</w:t>
            </w:r>
          </w:p>
        </w:tc>
      </w:tr>
      <w:tr>
        <w:tc>
          <w:tcPr>
            <w:tcW w:type="dxa" w:w="1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sz w:val="20"/>
                <w:szCs w:val="20"/>
              </w:rPr>
              <w:t xml:space="preserve">30 May</w:t>
            </w:r>
          </w:p>
        </w:tc>
        <w:tc>
          <w:tcPr>
            <w:tcW w:type="dxa" w:w="53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Final creative sign-off (all 3 brands)</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Creative + Ops</w:t>
            </w:r>
          </w:p>
        </w:tc>
      </w:tr>
      <w:tr>
        <w:tc>
          <w:tcPr>
            <w:tcW w:type="dxa" w:w="16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31 May</w:t>
            </w:r>
          </w:p>
        </w:tc>
        <w:tc>
          <w:tcPr>
            <w:tcW w:type="dxa" w:w="53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Final QA pass, all six LPs live in staging</w:t>
            </w:r>
          </w:p>
        </w:tc>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Dev</w:t>
            </w:r>
          </w:p>
        </w:tc>
      </w:tr>
      <w:tr>
        <w:tc>
          <w:tcPr>
            <w:tcW w:type="dxa" w:w="1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sz w:val="20"/>
                <w:szCs w:val="20"/>
              </w:rPr>
              <w:t xml:space="preserve">1 June</w:t>
            </w:r>
          </w:p>
        </w:tc>
        <w:tc>
          <w:tcPr>
            <w:tcW w:type="dxa" w:w="53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sz w:val="20"/>
                <w:szCs w:val="20"/>
              </w:rPr>
              <w:t xml:space="preserve">Competition goes live in all 6 markets</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sz w:val="20"/>
                <w:szCs w:val="20"/>
              </w:rPr>
              <w:t xml:space="preserve">All</w:t>
            </w:r>
          </w:p>
        </w:tc>
      </w:tr>
      <w:tr>
        <w:tc>
          <w:tcPr>
            <w:tcW w:type="dxa" w:w="16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1 June – 19 July</w:t>
            </w:r>
          </w:p>
        </w:tc>
        <w:tc>
          <w:tcPr>
            <w:tcW w:type="dxa" w:w="53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Trigger emails fire automatically via cron (post-deposit welcome, tier proximity, rank movement)</w:t>
            </w:r>
          </w:p>
        </w:tc>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Dev</w:t>
            </w:r>
          </w:p>
        </w:tc>
      </w:tr>
      <w:tr>
        <w:tc>
          <w:tcPr>
            <w:tcW w:type="dxa" w:w="1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28 June</w:t>
            </w:r>
          </w:p>
        </w:tc>
        <w:tc>
          <w:tcPr>
            <w:tcW w:type="dxa" w:w="53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Snapshot 1: top of Tier 3 wins Round-of-16 ticket package (end of group stage)</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Dev + Ops</w:t>
            </w:r>
          </w:p>
        </w:tc>
      </w:tr>
      <w:tr>
        <w:tc>
          <w:tcPr>
            <w:tcW w:type="dxa" w:w="16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5 July</w:t>
            </w:r>
          </w:p>
        </w:tc>
        <w:tc>
          <w:tcPr>
            <w:tcW w:type="dxa" w:w="53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Snapshot 2: top of Tier 3 wins quarter-final ticket package</w:t>
            </w:r>
          </w:p>
        </w:tc>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Dev + Ops</w:t>
            </w:r>
          </w:p>
        </w:tc>
      </w:tr>
      <w:tr>
        <w:tc>
          <w:tcPr>
            <w:tcW w:type="dxa" w:w="1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10 July</w:t>
            </w:r>
          </w:p>
        </w:tc>
        <w:tc>
          <w:tcPr>
            <w:tcW w:type="dxa" w:w="53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Snapshot 3: top of Tier 3 wins semi-final ticket package</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Dev + Ops</w:t>
            </w:r>
          </w:p>
        </w:tc>
      </w:tr>
      <w:tr>
        <w:tc>
          <w:tcPr>
            <w:tcW w:type="dxa" w:w="16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15 July</w:t>
            </w:r>
          </w:p>
        </w:tc>
        <w:tc>
          <w:tcPr>
            <w:tcW w:type="dxa" w:w="53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Snapshot 4: top of Tier 3 wins final ticket package</w:t>
            </w:r>
          </w:p>
        </w:tc>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Dev + Ops</w:t>
            </w:r>
          </w:p>
        </w:tc>
      </w:tr>
      <w:tr>
        <w:tc>
          <w:tcPr>
            <w:tcW w:type="dxa" w:w="1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16 July</w:t>
            </w:r>
          </w:p>
        </w:tc>
        <w:tc>
          <w:tcPr>
            <w:tcW w:type="dxa" w:w="53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Tier-closing trigger email fires for lower-50% in each tier</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Dev</w:t>
            </w:r>
          </w:p>
        </w:tc>
      </w:tr>
      <w:tr>
        <w:tc>
          <w:tcPr>
            <w:tcW w:type="dxa" w:w="16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bCs/>
                <w:sz w:val="20"/>
                <w:szCs w:val="20"/>
              </w:rPr>
              <w:t xml:space="preserve">19 July</w:t>
            </w:r>
          </w:p>
        </w:tc>
        <w:tc>
          <w:tcPr>
            <w:tcW w:type="dxa" w:w="53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bCs/>
                <w:sz w:val="20"/>
                <w:szCs w:val="20"/>
              </w:rPr>
              <w:t xml:space="preserve">Competition closes, leaderboard locks 23:59 UTC (World Cup final day)</w:t>
            </w:r>
          </w:p>
        </w:tc>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Dev</w:t>
            </w:r>
          </w:p>
        </w:tc>
      </w:tr>
      <w:tr>
        <w:tc>
          <w:tcPr>
            <w:tcW w:type="dxa" w:w="1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20–23 July</w:t>
            </w:r>
          </w:p>
        </w:tc>
        <w:tc>
          <w:tcPr>
            <w:tcW w:type="dxa" w:w="53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KYC re-verification of end-of-competition winners</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Operations</w:t>
            </w:r>
          </w:p>
        </w:tc>
      </w:tr>
      <w:tr>
        <w:tc>
          <w:tcPr>
            <w:tcW w:type="dxa" w:w="16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bCs/>
                <w:sz w:val="20"/>
                <w:szCs w:val="20"/>
              </w:rPr>
              <w:t xml:space="preserve">26 July</w:t>
            </w:r>
          </w:p>
        </w:tc>
        <w:tc>
          <w:tcPr>
            <w:tcW w:type="dxa" w:w="53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Winners announced publicly (per brand)</w:t>
            </w:r>
          </w:p>
        </w:tc>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All</w:t>
            </w:r>
          </w:p>
        </w:tc>
      </w:tr>
      <w:tr>
        <w:tc>
          <w:tcPr>
            <w:tcW w:type="dxa" w:w="1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2 Aug</w:t>
            </w:r>
          </w:p>
        </w:tc>
        <w:tc>
          <w:tcPr>
            <w:tcW w:type="dxa" w:w="53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Digital prize codes delivered to all end-of-competition winners</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sz w:val="20"/>
                <w:szCs w:val="20"/>
              </w:rPr>
              <w:t xml:space="preserve">Operations</w:t>
            </w:r>
          </w:p>
        </w:tc>
      </w:tr>
      <w:tr>
        <w:tc>
          <w:tcPr>
            <w:tcW w:type="dxa" w:w="16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10 Aug</w:t>
            </w:r>
          </w:p>
        </w:tc>
        <w:tc>
          <w:tcPr>
            <w:tcW w:type="dxa" w:w="536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Measurement readout: FTD lift vs. 1 Jun–19 Jul 2025 baseline (2 control markets) + vs. May (others)</w:t>
            </w:r>
          </w:p>
        </w:tc>
        <w:tc>
          <w:tcPr>
            <w:tcW w:type="dxa" w:w="2400"/>
            <w:tcBorders>
              <w:top w:val="single" w:color="BFBFBF" w:sz="4"/>
              <w:left w:val="single" w:color="BFBFBF" w:sz="4"/>
              <w:bottom w:val="single" w:color="BFBFBF" w:sz="4"/>
              <w:right w:val="single" w:color="BFBFBF" w:sz="4"/>
            </w:tcBorders>
            <w:shd w:fill="F4F6F9" w:val="clear"/>
            <w:tcMar>
              <w:top w:type="dxa" w:w="90"/>
              <w:left w:type="dxa" w:w="140"/>
              <w:bottom w:type="dxa" w:w="90"/>
              <w:right w:type="dxa" w:w="140"/>
            </w:tcMar>
          </w:tcPr>
          <w:p>
            <w:r>
              <w:rPr>
                <w:b w:val="false"/>
                <w:bCs w:val="false"/>
                <w:sz w:val="20"/>
                <w:szCs w:val="20"/>
              </w:rPr>
              <w:t xml:space="preserve">Ops + Data</w:t>
            </w:r>
          </w:p>
        </w:tc>
      </w:tr>
    </w:tbl>
    <w:p>
      <w:pPr>
        <w:spacing w:after="120"/>
      </w:pPr>
      <w:r>
        <w:t xml:space="preserve"/>
      </w:r>
    </w:p>
    <w:p>
      <w:pPr>
        <w:spacing w:after="120"/>
      </w:pPr>
      <w:r>
        <w:t xml:space="preserve"/>
      </w:r>
    </w:p>
    <w:p>
      <w:pPr>
        <w:pBdr>
          <w:bottom w:val="single" w:color="1F3A5F" w:sz="8" w:space="1"/>
        </w:pBdr>
        <w:spacing w:after="240" w:before="0"/>
      </w:pPr>
    </w:p>
    <w:p>
      <w:pPr>
        <w:spacing w:after="140"/>
      </w:pPr>
      <w:r>
        <w:rPr>
          <w:i/>
          <w:iCs/>
          <w:color w:val="777777"/>
          <w:sz w:val="20"/>
          <w:szCs w:val="20"/>
        </w:rPr>
        <w:t xml:space="preserve">End of brief. For questions, contact the project lead.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A5F"/>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F3A5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2026-05-14T08:26:37.011Z</dcterms:created>
  <dcterms:modified xsi:type="dcterms:W3CDTF">2026-05-14T08:26:37.012Z</dcterms:modified>
</cp:coreProperties>
</file>

<file path=docProps/custom.xml><?xml version="1.0" encoding="utf-8"?>
<Properties xmlns="http://schemas.openxmlformats.org/officeDocument/2006/custom-properties" xmlns:vt="http://schemas.openxmlformats.org/officeDocument/2006/docPropsVTypes"/>
</file>