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Software Design Description (SDD)</w:t>
      </w:r>
    </w:p>
    <w:p>
      <w:pPr>
        <w:spacing w:after="140"/>
      </w:pPr>
      <w:r>
        <w:t xml:space="preserve">Veterinary Management Platform. Version 1.0, 2026-10-13, written at the B-04 merge.</w:t>
      </w:r>
    </w:p>
    <w:p>
      <w:pPr>
        <w:pStyle w:val="Heading1"/>
      </w:pPr>
      <w:r>
        <w:t xml:space="preserve">1. Introduction</w:t>
      </w:r>
    </w:p>
    <w:p>
      <w:pPr>
        <w:spacing w:after="140"/>
      </w:pPr>
      <w:r>
        <w:t xml:space="preserve">This document describes how the platform is built: its structure, request flow, data design and the patterns every new module follows. Requirements are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SRS.md</w:t>
      </w:r>
      <w:r>
        <w:t xml:space="preserve">; the reasoning behind each major decision is recorded once, in the ADRs of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ARCHITECTURE.md</w:t>
      </w:r>
      <w:r>
        <w:t xml:space="preserve"> section 11, and only referenced here. If this document and an ADR disagree, the ADR wins and this document must be fixed.</w:t>
      </w:r>
    </w:p>
    <w:p>
      <w:pPr>
        <w:spacing w:after="140"/>
      </w:pPr>
      <w:r>
        <w:t xml:space="preserve">Sections 2–7 describe what exists (B-01 to B-04). Section 8 is the design to follow for planned modules.</w:t>
      </w:r>
    </w:p>
    <w:p>
      <w:pPr>
        <w:pStyle w:val="Heading1"/>
      </w:pPr>
      <w:r>
        <w:t xml:space="preserve">2. System context</w:t>
      </w:r>
    </w:p>
    <w:p>
      <w:pPr>
        <w:spacing w:after="200" w:before="120"/>
        <w:jc w:val="center"/>
      </w:pPr>
      <w:r>
        <w:drawing>
          <wp:inline distT="0" distB="0" distL="0" distR="0">
            <wp:extent cx="5943600" cy="1828800"/>
            <wp:effectExtent t="0" r="0" b="0" l="0"/>
            <wp:docPr id="1" name="diagram1" descr="Diagram 1" titl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frontend and API share a site (SameSite=Strict cookies, no CORS). In development the frontend dev server proxies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/api</w:t>
      </w:r>
      <w:r>
        <w:t xml:space="preserve"> to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https://localhost:7096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There is no public sign-up; an operator provisions each clinic with the CLI (ADR-004).</w:t>
      </w:r>
    </w:p>
    <w:p>
      <w:pPr>
        <w:spacing w:after="60"/>
      </w:pPr>
    </w:p>
    <w:p>
      <w:pPr>
        <w:pStyle w:val="Heading1"/>
      </w:pPr>
      <w:r>
        <w:t xml:space="preserve">3. Architectural style (ADR-001)</w:t>
      </w:r>
    </w:p>
    <w:p>
      <w:pPr>
        <w:spacing w:after="140"/>
      </w:pPr>
      <w:r>
        <w:t xml:space="preserve">A modular monolith: one deployable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backend/src/VetPlatform.Api</w:t>
      </w:r>
      <w:r>
        <w:t xml:space="preserve">), organised by feature.</w:t>
      </w:r>
    </w:p>
    <w:p>
      <w:pPr>
        <w:shd w:fill="F4F5F7" w:color="auto" w:val="clear"/>
        <w:spacing w:after="0" w:before="8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src/VetPlatform.Api/</w:t>
      </w:r>
    </w:p>
    <w:p>
      <w:pPr>
        <w:shd w:fill="F4F5F7" w:color="auto" w:val="clear"/>
        <w:spacing w:after="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Program.cs              composition root, middleware order, CLI dispatch</w:t>
      </w:r>
    </w:p>
    <w:p>
      <w:pPr>
        <w:shd w:fill="F4F5F7" w:color="auto" w:val="clear"/>
        <w:spacing w:after="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Common/                 cross-cutting infrastructure, no business rules</w:t>
      </w:r>
    </w:p>
    <w:p>
      <w:pPr>
        <w:shd w:fill="F4F5F7" w:color="auto" w:val="clear"/>
        <w:spacing w:after="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  Errors/               error envelope, ApiException, global exception handler, model-state mapping</w:t>
      </w:r>
    </w:p>
    <w:p>
      <w:pPr>
        <w:shd w:fill="F4F5F7" w:color="auto" w:val="clear"/>
        <w:spacing w:after="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  Http/                 request id, request logging, paging, strict enum parsing</w:t>
      </w:r>
    </w:p>
    <w:p>
      <w:pPr>
        <w:shd w:fill="F4F5F7" w:color="auto" w:val="clear"/>
        <w:spacing w:after="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  Persistence/          AppDbContext, Entity base, timestamps interceptor, health check, Migrations/</w:t>
      </w:r>
    </w:p>
    <w:p>
      <w:pPr>
        <w:shd w:fill="F4F5F7" w:color="auto" w:val="clear"/>
        <w:spacing w:after="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  Security/             CSRF filter</w:t>
      </w:r>
    </w:p>
    <w:p>
      <w:pPr>
        <w:shd w:fill="F4F5F7" w:color="auto" w:val="clear"/>
        <w:spacing w:after="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  Authorization/        Role enum, permission catalogue, [RequirePermission], policy handler</w:t>
      </w:r>
    </w:p>
    <w:p>
      <w:pPr>
        <w:shd w:fill="F4F5F7" w:color="auto" w:val="clear"/>
        <w:spacing w:after="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  Tenancy/              ITenantContext, ClinicScopeInterceptor</w:t>
      </w:r>
    </w:p>
    <w:p>
      <w:pPr>
        <w:shd w:fill="F4F5F7" w:color="auto" w:val="clear"/>
        <w:spacing w:after="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  Auditing/             AuditLog entity, AuditTrail</w:t>
      </w:r>
    </w:p>
    <w:p>
      <w:pPr>
        <w:shd w:fill="F4F5F7" w:color="auto" w:val="clear"/>
        <w:spacing w:after="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Features/</w:t>
      </w:r>
    </w:p>
    <w:p>
      <w:pPr>
        <w:shd w:fill="F4F5F7" w:color="auto" w:val="clear"/>
        <w:spacing w:after="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  Identity/             Clinic, User, UserRole, UserSession entities, password policy</w:t>
      </w:r>
    </w:p>
    <w:p>
      <w:pPr>
        <w:shd w:fill="F4F5F7" w:color="auto" w:val="clear"/>
        <w:spacing w:after="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  Auth/                 AuthController, AuthService, cookie session events, antiforgery binding</w:t>
      </w:r>
    </w:p>
    <w:p>
      <w:pPr>
        <w:shd w:fill="F4F5F7" w:color="auto" w:val="clear"/>
        <w:spacing w:after="16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  Users/                UsersController, UserService, contracts, create-admin command</w:t>
      </w:r>
    </w:p>
    <w:p>
      <w:pPr>
        <w:spacing w:after="140"/>
      </w:pPr>
      <w:r>
        <w:t xml:space="preserve">Layering inside a feature: </w:t>
      </w:r>
      <w:r>
        <w:rPr>
          <w:b/>
          <w:bCs/>
        </w:rPr>
        <w:t xml:space="preserve">controller</w:t>
      </w:r>
      <w:r>
        <w:t xml:space="preserve"> (HTTP mapping, attributes, no logic) → </w:t>
      </w:r>
      <w:r>
        <w:rPr>
          <w:b/>
          <w:bCs/>
        </w:rPr>
        <w:t xml:space="preserve">service</w:t>
      </w:r>
      <w:r>
        <w:t xml:space="preserve"> (business rules, transactions, audit) → </w:t>
      </w:r>
      <w:r>
        <w:rPr>
          <w:b/>
          <w:bCs/>
        </w:rPr>
        <w:t xml:space="preserve">AppDbContext</w:t>
      </w:r>
      <w:r>
        <w:t xml:space="preserve"> (EF Core; no repository layer, since the context already is one). Request and response types are records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&lt;Feature&gt;Contracts.cs</w:t>
      </w:r>
      <w:r>
        <w:t xml:space="preserve">; entities never cross the API boundary.</w:t>
      </w:r>
    </w:p>
    <w:p>
      <w:pPr>
        <w:spacing w:after="140"/>
      </w:pPr>
      <w:r>
        <w:t xml:space="preserve">Rules that keep modules separable later: a feature reaches another feature's data only through that feature's service or its entities' navigation properties, never by duplicating its rules;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Common/</w:t>
      </w:r>
      <w:r>
        <w:t xml:space="preserve"> never depends 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Features/</w:t>
      </w:r>
      <w:r>
        <w:t xml:space="preserve"> except where entity types are required by infrastructure (identity entities for session validation).</w:t>
      </w:r>
    </w:p>
    <w:p>
      <w:pPr>
        <w:pStyle w:val="Heading1"/>
      </w:pPr>
      <w:r>
        <w:t xml:space="preserve">4. Request pipeline</w:t>
      </w:r>
    </w:p>
    <w:p>
      <w:pPr>
        <w:spacing w:after="140"/>
      </w:pPr>
      <w:r>
        <w:t xml:space="preserve">Order is set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Program.cs</w:t>
      </w:r>
      <w:r>
        <w:t xml:space="preserve"> and matters: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80"/>
        <w:gridCol w:w="6080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Responsibility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RequestIdMiddleware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Accept a safe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X-Request-Id</w:t>
            </w:r>
            <w:r>
              <w:rPr>
                <w:sz w:val="19"/>
                <w:szCs w:val="19"/>
              </w:rPr>
              <w:t xml:space="preserve"> or generate one; echo it; open the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CorrelationId</w:t>
            </w:r>
            <w:r>
              <w:rPr>
                <w:sz w:val="19"/>
                <w:szCs w:val="19"/>
              </w:rPr>
              <w:t xml:space="preserve"> log scope.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RequestLoggingMiddleware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Log method, path, status, duration only (never query, headers, body).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Exception handler + status code pages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Turn any exception or bare status into the error envelope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API.md</w:t>
            </w:r>
            <w:r>
              <w:rPr>
                <w:sz w:val="19"/>
                <w:szCs w:val="19"/>
              </w:rPr>
              <w:t xml:space="preserve"> section 2).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HSTS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Outside Development only.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Rate limiter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Login/password policy: fixed window per client IP (IPv6 /64). Runs before authentication so throttled attempts cost no database work.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Cookie handler;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SessionCookieEvents.ValidatePrincipal</w:t>
            </w:r>
            <w:r>
              <w:rPr>
                <w:sz w:val="19"/>
                <w:szCs w:val="19"/>
              </w:rPr>
              <w:t xml:space="preserve"> re-validates the session on every request (6.1).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Endpoint default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RequireAuthorization()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[RequirePermission]</w:t>
            </w:r>
            <w:r>
              <w:rPr>
                <w:sz w:val="19"/>
                <w:szCs w:val="19"/>
              </w:rPr>
              <w:t xml:space="preserve"> policies;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[AllowAnonymous]</w:t>
            </w:r>
            <w:r>
              <w:rPr>
                <w:sz w:val="19"/>
                <w:szCs w:val="19"/>
              </w:rPr>
              <w:t xml:space="preserve"> exceptions.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MVC filters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CsrfProtectionFilter</w:t>
            </w:r>
            <w:r>
              <w:rPr>
                <w:sz w:val="19"/>
                <w:szCs w:val="19"/>
              </w:rPr>
              <w:t xml:space="preserve"> on unsafe methods; model validation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422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400</w:t>
            </w:r>
            <w:r>
              <w:rPr>
                <w:sz w:val="19"/>
                <w:szCs w:val="19"/>
              </w:rPr>
              <w:t xml:space="preserve"> mapping.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Controller → service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AppDbContext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Business logic, with the tenant filter and write guard (6.2) and audit (6.3).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Error precedence observed by clients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API.md</w:t>
      </w:r>
      <w:r>
        <w:t xml:space="preserve"> section 3):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429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401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403 FORBIDDEN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403 CSRF_TOKEN_INVALID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400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422</w:t>
      </w:r>
      <w:r>
        <w:t xml:space="preserve"> → endpoint result.</w:t>
      </w:r>
    </w:p>
    <w:p>
      <w:pPr>
        <w:spacing w:after="140"/>
      </w:pPr>
      <w:r>
        <w:t xml:space="preserve">Unsafe endpoints must be controller actions because CSRF protection is an MVC filter; a test enforces it.</w:t>
      </w:r>
    </w:p>
    <w:p>
      <w:pPr>
        <w:pStyle w:val="Heading1"/>
      </w:pPr>
      <w:r>
        <w:t xml:space="preserve">5. Data design (ADR-002)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PostgreSQL, EF Core 10 with Npgsql, one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AppDbContext</w:t>
      </w:r>
      <w:r>
        <w:t xml:space="preserve">. Entity configuration lives next to the entity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IEntityTypeConfiguration&lt;T&gt;</w:t>
      </w:r>
      <w:r>
        <w:t xml:space="preserve"> and is discovered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Conventions: snake_case names;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uuid</w:t>
      </w:r>
      <w:r>
        <w:t xml:space="preserve"> keys from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Guid.CreateVersion7()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timestamptz</w:t>
      </w:r>
      <w:r>
        <w:t xml:space="preserve"> in UTC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DateTimeOffset</w:t>
      </w:r>
      <w:r>
        <w:t xml:space="preserve">; money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numeric(19,4)</w:t>
      </w:r>
      <w:r>
        <w:t xml:space="preserve">; enums stored as their names with CHECK constraints;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created_at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updated_at</w:t>
      </w:r>
      <w:r>
        <w:t xml:space="preserve"> set by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TimestampsInterceptor</w:t>
      </w:r>
      <w:r>
        <w:t xml:space="preserve"> from the injected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TimeProvider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Clinic-owned tables have a non-null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clinic_id</w:t>
      </w:r>
      <w:r>
        <w:t xml:space="preserve"> FK and an index starting with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clinic_id</w:t>
      </w:r>
      <w:r>
        <w:t xml:space="preserve">.</w:t>
      </w:r>
    </w:p>
    <w:p>
      <w:pPr>
        <w:spacing w:after="60"/>
      </w:pPr>
    </w:p>
    <w:p>
      <w:pPr>
        <w:spacing w:after="140"/>
      </w:pPr>
      <w:r>
        <w:t xml:space="preserve">Current schema:</w:t>
      </w:r>
    </w:p>
    <w:p>
      <w:pPr>
        <w:spacing w:after="200" w:before="120"/>
        <w:jc w:val="center"/>
      </w:pPr>
      <w:r>
        <w:drawing>
          <wp:inline distT="0" distB="0" distL="0" distR="0">
            <wp:extent cx="4638675" cy="7239000"/>
            <wp:effectExtent t="0" r="0" b="0" l="0"/>
            <wp:docPr id="2" name="diagram2" descr="Diagram 2" title="Diagra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Migrations: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Baseline</w:t>
      </w:r>
      <w:r>
        <w:t xml:space="preserve"> (B-02),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AddIdentityAndSessions</w:t>
      </w:r>
      <w:r>
        <w:t xml:space="preserve"> (B-03),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AddRolesAndAuditLog</w:t>
      </w:r>
      <w:r>
        <w:t xml:space="preserve"> (B-04). The full planned model is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DATABASE.md</w:t>
      </w:r>
      <w:r>
        <w:t xml:space="preserve">.</w:t>
      </w:r>
    </w:p>
    <w:p>
      <w:pPr>
        <w:pStyle w:val="Heading1"/>
      </w:pPr>
      <w:r>
        <w:t xml:space="preserve">6. Cross-cutting mechanisms</w:t>
      </w:r>
    </w:p>
    <w:p>
      <w:pPr>
        <w:pStyle w:val="Heading2"/>
      </w:pPr>
      <w:r>
        <w:t xml:space="preserve">6.1 Authentication and sessions (ADR-003)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Cookie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__Host-vet_session</w:t>
      </w:r>
      <w:r>
        <w:t xml:space="preserve"> (HttpOnly, Secure, SameSite=Strict, browser-session lifetime) carries user id, clinic id and session id, encrypted by ASP.NET Core Data Protection.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each request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SessionCookieEvents</w:t>
      </w:r>
      <w:r>
        <w:t xml:space="preserve"> loads the session row with its user, clinic and roles, and rejects the principal when the session is revoked, idle past 2 h, past its 12 h absolute end, the user is disabled, the clinic suspended, or the cookie's user/clinic claims do not match the row. It then adds role claims for this request only and refreshes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last_seen_at</w:t>
      </w:r>
      <w:r>
        <w:t xml:space="preserve"> at most once per minute.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Sign-in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AuthService</w:t>
      </w:r>
      <w:r>
        <w:t xml:space="preserve">): clears the incoming identity, hashes the password even for unknown emails, counts failures with one atomic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UPDATE</w:t>
      </w:r>
      <w:r>
        <w:t xml:space="preserve"> that also sets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locked_until</w:t>
      </w:r>
      <w:r>
        <w:t xml:space="preserve">, and serialises with password change through a row lock on the user. Success revokes the browser's previous session and creates a new one.</w:t>
      </w:r>
    </w:p>
    <w:p>
      <w:pPr>
        <w:spacing w:after="60"/>
      </w:pPr>
    </w:p>
    <w:p>
      <w:pPr>
        <w:spacing w:after="200" w:before="120"/>
        <w:jc w:val="center"/>
      </w:pPr>
      <w:r>
        <w:drawing>
          <wp:inline distT="0" distB="0" distL="0" distR="0">
            <wp:extent cx="5943600" cy="3076575"/>
            <wp:effectExtent t="0" r="0" b="0" l="0"/>
            <wp:docPr id="3" name="diagram3" descr="Diagram 3" title="Diagra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6.2 Authorization and tenant isolation (ADR-004)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Roles and permissions</w:t>
      </w:r>
      <w:r>
        <w:t xml:space="preserve"> are fixed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Common/Authorization/Permissions.cs</w:t>
      </w:r>
      <w:r>
        <w:t xml:space="preserve">. Endpoints declare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[RequirePermission(Permissions.X)]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PermissionHandler</w:t>
      </w:r>
      <w:r>
        <w:t xml:space="preserve"> checks the request's role claims.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 clinic</w:t>
      </w:r>
      <w:r>
        <w:t xml:space="preserve"> comes only from the validated session through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ITenantContext</w:t>
      </w:r>
      <w:r>
        <w:t xml:space="preserve">. Request bodies never carry a clinic 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 guard:</w:t>
      </w:r>
      <w:r>
        <w:t xml:space="preserve"> every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IClinicOwned</w:t>
      </w:r>
      <w:r>
        <w:t xml:space="preserve"> entity has the named global query filter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AppDbContext.ClinicFilter</w:t>
      </w:r>
      <w:r>
        <w:t xml:space="preserve">. No current clinic → the filter matches nothing (fail closed).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Write guard: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ClinicScopeInterceptor</w:t>
      </w:r>
      <w:r>
        <w:t xml:space="preserve"> stamps new rows with the current clinic and throws when a row of, or a move to, another clinic is saved.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IgnoreQueryFilters()</w:t>
      </w:r>
      <w:r>
        <w:t xml:space="preserve"> is allowed only for genuinely cross-clinic code (sign-in, session validation, platform-wide email uniqueness, CLI), each with a justifying comment.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Other clinics' records are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404</w:t>
      </w:r>
      <w:r>
        <w:t xml:space="preserve">, never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403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Invariants needing cross-row consistency (the last active administrator) take a row lock on the clinic and re-check the caller's permission inside the lock.</w:t>
      </w:r>
    </w:p>
    <w:p>
      <w:pPr>
        <w:spacing w:after="60"/>
      </w:pPr>
    </w:p>
    <w:p>
      <w:pPr>
        <w:pStyle w:val="Heading2"/>
      </w:pPr>
      <w:r>
        <w:t xml:space="preserve">6.3 Audit trail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AuditTrail.Record(...)</w:t>
      </w:r>
      <w:r>
        <w:t xml:space="preserve"> adds an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audit_logs</w:t>
      </w:r>
      <w:r>
        <w:t xml:space="preserve"> row to the current unit of work, so it commits with the change. Actor and clinic come from the caller;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RecordFor(...)</w:t>
      </w:r>
      <w:r>
        <w:t xml:space="preserve"> sets them explicitly (sign-in, CLI). Triggers make the table append-only and stamp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recorded_at</w:t>
      </w:r>
      <w:r>
        <w:t xml:space="preserve"> from the database clock. Metadata never contains secrets, passwords or emails. Action names so far: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auth.login_succeeded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auth.login_failed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auth.account_locked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auth.logout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auth.password_changed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auth.password_change_failed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auth.sessions_revoked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user.created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user.updated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user.roles_changed</w:t>
      </w:r>
      <w:r>
        <w:t xml:space="preserve">.</w:t>
      </w:r>
    </w:p>
    <w:p>
      <w:pPr>
        <w:spacing w:after="140"/>
      </w:pPr>
      <w:r>
        <w:t xml:space="preserve">New actions use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&lt;entity&gt;.&lt;past_tense_verb&gt;</w:t>
      </w:r>
      <w:r>
        <w:t xml:space="preserve"> and are listed here when added.</w:t>
      </w:r>
    </w:p>
    <w:p>
      <w:pPr>
        <w:pStyle w:val="Heading2"/>
      </w:pPr>
      <w:r>
        <w:t xml:space="preserve">6.4 Errors, validation and serialisation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ApiException(status, code, message, details)</w:t>
      </w:r>
      <w:r>
        <w:t xml:space="preserve"> for expected failures; everything else becomes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500 INTERNAL_ERROR</w:t>
      </w:r>
      <w:r>
        <w:t xml:space="preserve"> and is logged with the request 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DataAnnotations and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IValidatableObject</w:t>
      </w:r>
      <w:r>
        <w:t xml:space="preserve"> on contracts produce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422 VALIDATION_ERROR</w:t>
      </w:r>
      <w:r>
        <w:t xml:space="preserve"> with camelCase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field</w:t>
      </w:r>
      <w:r>
        <w:t xml:space="preserve"> details; unparsable JSON is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400 BAD_REQUEST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Enums cross the boundary only as exact names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StrictEnumConverterFactory</w:t>
      </w:r>
      <w:r>
        <w:t xml:space="preserve"> in bodies,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StrictEnum</w:t>
      </w:r>
      <w:r>
        <w:t xml:space="preserve"> in queries).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Pagination: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PageQuery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page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pageSize</w:t>
      </w:r>
      <w:r>
        <w:t xml:space="preserve"> 1–100) and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Paging</w:t>
      </w:r>
      <w:r>
        <w:t xml:space="preserve"> produce the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{ data, pagination }</w:t>
      </w:r>
      <w:r>
        <w:t xml:space="preserve"> envelope.</w:t>
      </w:r>
    </w:p>
    <w:p>
      <w:pPr>
        <w:spacing w:after="60"/>
      </w:pPr>
    </w:p>
    <w:p>
      <w:pPr>
        <w:pStyle w:val="Heading2"/>
      </w:pPr>
      <w:r>
        <w:t xml:space="preserve">6.5 Time and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code reads time from the DI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TimeProvider</w:t>
      </w:r>
      <w:r>
        <w:t xml:space="preserve">; tests use a fake clock.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Configuration: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appsettings.json</w:t>
      </w:r>
      <w:r>
        <w:t xml:space="preserve"> &lt;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appsettings.{Environment}.json</w:t>
      </w:r>
      <w:r>
        <w:t xml:space="preserve"> &lt; environment variables &lt; command line.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ConnectionStrings:Default</w:t>
      </w:r>
      <w:r>
        <w:t xml:space="preserve"> is required at startup;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Auth</w:t>
      </w:r>
      <w:r>
        <w:t xml:space="preserve"> options are validated at startup.</w:t>
      </w:r>
    </w:p>
    <w:p>
      <w:pPr>
        <w:spacing w:after="60"/>
      </w:pPr>
    </w:p>
    <w:p>
      <w:pPr>
        <w:pStyle w:val="Heading2"/>
      </w:pPr>
      <w:r>
        <w:t xml:space="preserve">6.6 Logging and health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JSON console logs (Development: single-line text) with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CorrelationId</w:t>
      </w:r>
      <w:r>
        <w:t xml:space="preserve">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GET /api/health</w:t>
      </w:r>
      <w:r>
        <w:t xml:space="preserve"> runs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DatabaseHealthCheck</w:t>
      </w:r>
      <w:r>
        <w:t xml:space="preserve"> with a 5-second timeout and returns only the overall status.</w:t>
      </w:r>
    </w:p>
    <w:p>
      <w:pPr>
        <w:spacing w:after="60"/>
      </w:pPr>
    </w:p>
    <w:p>
      <w:pPr>
        <w:pStyle w:val="Heading1"/>
      </w:pPr>
      <w:r>
        <w:t xml:space="preserve">7. Command-line interface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Program.cs</w:t>
      </w:r>
      <w:r>
        <w:t xml:space="preserve"> dispatches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create-admin</w:t>
      </w:r>
      <w:r>
        <w:t xml:space="preserve"> before the web host starts. It validates arguments, reads the password from stdin (hidden when interactive), refuses a taken email, and creates the clinic, the user with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Admin</w:t>
      </w:r>
      <w:r>
        <w:t xml:space="preserve"> and an audit entry in one transaction. Exit codes: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0</w:t>
      </w:r>
      <w:r>
        <w:t xml:space="preserve"> success,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1</w:t>
      </w:r>
      <w:r>
        <w:t xml:space="preserve"> conflict,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2</w:t>
      </w:r>
      <w:r>
        <w:t xml:space="preserve"> usage/validation error.</w:t>
      </w:r>
    </w:p>
    <w:p>
      <w:pPr>
        <w:pStyle w:val="Heading1"/>
      </w:pPr>
      <w:r>
        <w:t xml:space="preserve">8. Design for planned modules</w:t>
      </w:r>
    </w:p>
    <w:p>
      <w:pPr>
        <w:spacing w:after="140"/>
      </w:pPr>
      <w:r>
        <w:t xml:space="preserve">Every module from B-05 onward follows this template; the milestone records any deviation as an ADR.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Entities</w:t>
      </w:r>
      <w:r>
        <w:t xml:space="preserve">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Features/&lt;Module&gt;/</w:t>
      </w:r>
      <w:r>
        <w:t xml:space="preserve">, deriving from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Entity</w:t>
      </w:r>
      <w:r>
        <w:t xml:space="preserve">, implementing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IClinicOwned</w:t>
      </w:r>
      <w:r>
        <w:t xml:space="preserve"> when clinic-owned. Child rows (invoice items, PO items) are not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DbSet</w:t>
      </w:r>
      <w:r>
        <w:t xml:space="preserve">s and are reached through their parent.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Migration</w:t>
      </w:r>
      <w:r>
        <w:t xml:space="preserve"> in the same change, reviewed for unintended drops.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Permissions</w:t>
      </w:r>
      <w:r>
        <w:t xml:space="preserve"> added to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Permissions.cs</w:t>
      </w:r>
      <w:r>
        <w:t xml:space="preserve"> and granted to roles. Proposed initial grants: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8"/>
        <w:gridCol w:w="610"/>
        <w:gridCol w:w="1220"/>
        <w:gridCol w:w="1293"/>
        <w:gridCol w:w="1220"/>
        <w:gridCol w:w="959"/>
      </w:tblGrid>
      <w:tr>
        <w:trPr>
          <w:cantSplit/>
          <w:tblHeader/>
        </w:trPr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Permission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Admin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Veterinarian</w:t>
            </w:r>
          </w:p>
        </w:tc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Nurse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Inventory</w:t>
            </w:r>
          </w:p>
        </w:tc>
      </w:tr>
      <w:tr>
        <w:trPr>
          <w:cantSplit/>
          <w:tblHeader w:val="off"/>
        </w:trPr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clients.read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clients.manage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✓/✓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✓/–</w:t>
            </w:r>
          </w:p>
        </w:tc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✓/–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✓/✓</w:t>
            </w:r>
          </w:p>
        </w:tc>
        <w:tc>
          <w:tcPr>
            <w:tcW w:type="dxa" w:w="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–/–</w:t>
            </w:r>
          </w:p>
        </w:tc>
      </w:tr>
      <w:tr>
        <w:trPr>
          <w:cantSplit/>
          <w:tblHeader w:val="off"/>
        </w:trPr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patients.read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patients.manage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✓/✓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✓/✓</w:t>
            </w:r>
          </w:p>
        </w:tc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✓/✓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✓/✓</w:t>
            </w:r>
          </w:p>
        </w:tc>
        <w:tc>
          <w:tcPr>
            <w:tcW w:type="dxa" w:w="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–/–</w:t>
            </w:r>
          </w:p>
        </w:tc>
      </w:tr>
      <w:tr>
        <w:trPr>
          <w:cantSplit/>
          <w:tblHeader w:val="off"/>
        </w:trPr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appointments.read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appointments.manage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✓/✓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✓/✓</w:t>
            </w:r>
          </w:p>
        </w:tc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✓/✓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✓/✓</w:t>
            </w:r>
          </w:p>
        </w:tc>
        <w:tc>
          <w:tcPr>
            <w:tcW w:type="dxa" w:w="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–/–</w:t>
            </w:r>
          </w:p>
        </w:tc>
      </w:tr>
      <w:tr>
        <w:trPr>
          <w:cantSplit/>
          <w:tblHeader w:val="off"/>
        </w:trPr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clinical.read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clinical.write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✓/–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✓/✓</w:t>
            </w:r>
          </w:p>
        </w:tc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✓/✓ (no prescribing)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–/–</w:t>
            </w:r>
          </w:p>
        </w:tc>
        <w:tc>
          <w:tcPr>
            <w:tcW w:type="dxa" w:w="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–/–</w:t>
            </w:r>
          </w:p>
        </w:tc>
      </w:tr>
      <w:tr>
        <w:trPr>
          <w:cantSplit/>
          <w:tblHeader w:val="off"/>
        </w:trPr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prescriptions.issue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off"/>
        </w:trPr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billing.read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billing.manage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✓/✓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✓/–</w:t>
            </w:r>
          </w:p>
        </w:tc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–/–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✓/✓</w:t>
            </w:r>
          </w:p>
        </w:tc>
        <w:tc>
          <w:tcPr>
            <w:tcW w:type="dxa" w:w="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–/–</w:t>
            </w:r>
          </w:p>
        </w:tc>
      </w:tr>
      <w:tr>
        <w:trPr>
          <w:cantSplit/>
          <w:tblHeader w:val="off"/>
        </w:trPr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payments.record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payments.refund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✓/✓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–/–</w:t>
            </w:r>
          </w:p>
        </w:tc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–/–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✓/–</w:t>
            </w:r>
          </w:p>
        </w:tc>
        <w:tc>
          <w:tcPr>
            <w:tcW w:type="dxa" w:w="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–/–</w:t>
            </w:r>
          </w:p>
        </w:tc>
      </w:tr>
      <w:tr>
        <w:trPr>
          <w:cantSplit/>
          <w:tblHeader w:val="off"/>
        </w:trPr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inventory.read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inventory.manage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✓/✓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✓/–</w:t>
            </w:r>
          </w:p>
        </w:tc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✓/–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–/–</w:t>
            </w:r>
          </w:p>
        </w:tc>
        <w:tc>
          <w:tcPr>
            <w:tcW w:type="dxa" w:w="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✓/✓</w:t>
            </w:r>
          </w:p>
        </w:tc>
      </w:tr>
      <w:tr>
        <w:trPr>
          <w:cantSplit/>
          <w:tblHeader w:val="off"/>
        </w:trPr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reports.read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off"/>
        </w:trPr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settings.manage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audit.read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sz w:val="19"/>
                <w:szCs w:val="19"/>
              </w:rPr>
              <w:t xml:space="preserve">–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This table is a proposal to be confirmed per milestone with the user;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Permissions.cs</w:t>
      </w:r>
      <w:r>
        <w:t xml:space="preserve"> is the source of truth.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Service</w:t>
      </w:r>
      <w:r>
        <w:t xml:space="preserve"> owns rules and transactions; it records audit entries before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SaveChanges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Controller</w:t>
      </w:r>
      <w:r>
        <w:t xml:space="preserve"> with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[RequirePermission]</w:t>
      </w:r>
      <w:r>
        <w:t xml:space="preserve"> on every action; unsafe actions only as controller actions.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Contract</w:t>
      </w:r>
      <w:r>
        <w:t xml:space="preserve"> documented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API.md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openapi.yaml</w:t>
      </w:r>
      <w:r>
        <w:t xml:space="preserve"> in the same change.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Tests</w:t>
      </w:r>
      <w:r>
        <w:t xml:space="preserve"> per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TEST_PLAN.md</w:t>
      </w:r>
      <w:r>
        <w:t xml:space="preserve"> section 5.</w:t>
      </w:r>
    </w:p>
    <w:p>
      <w:pPr>
        <w:spacing w:after="60"/>
      </w:pPr>
    </w:p>
    <w:p>
      <w:pPr>
        <w:spacing w:after="140"/>
      </w:pPr>
      <w:r>
        <w:t xml:space="preserve">Module-specific design 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8"/>
        <w:gridCol w:w="8082"/>
      </w:tblGrid>
      <w:tr>
        <w:trPr>
          <w:cantSplit/>
          <w:tblHeader/>
        </w:trPr>
        <w:tc>
          <w:tcPr>
            <w:tcW w:type="dxa" w:w="1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Module</w:t>
            </w:r>
          </w:p>
        </w:tc>
        <w:tc>
          <w:tcPr>
            <w:tcW w:type="dxa" w:w="8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Design decision to make in its milestone</w:t>
            </w:r>
          </w:p>
        </w:tc>
      </w:tr>
      <w:tr>
        <w:trPr>
          <w:cantSplit/>
          <w:tblHeader w:val="off"/>
        </w:trPr>
        <w:tc>
          <w:tcPr>
            <w:tcW w:type="dxa" w:w="1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Scheduling (B-08–B-10)</w:t>
            </w:r>
          </w:p>
        </w:tc>
        <w:tc>
          <w:tcPr>
            <w:tcW w:type="dxa" w:w="8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Prevent overlaps in the database with a PostgreSQL exclusion constraint on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veterinarian_id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tstzrange(start_at, end_at)</w:t>
            </w:r>
            <w:r>
              <w:rPr>
                <w:sz w:val="19"/>
                <w:szCs w:val="19"/>
              </w:rPr>
              <w:t xml:space="preserve">) for active statuses, plus availability checks in the service. Status transitions as an explicit state table in code. Times stored UTC, displayed in the clinic timezone.</w:t>
            </w:r>
          </w:p>
        </w:tc>
      </w:tr>
      <w:tr>
        <w:trPr>
          <w:cantSplit/>
          <w:tblHeader w:val="off"/>
        </w:trPr>
        <w:tc>
          <w:tcPr>
            <w:tcW w:type="dxa" w:w="1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Clinical (B-11–B-15)</w:t>
            </w:r>
          </w:p>
        </w:tc>
        <w:tc>
          <w:tcPr>
            <w:tcW w:type="dxa" w:w="8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Completed consultations become read-only; corrections are addenda rows. Attachments stored in private object storage under random keys, served through an authorised endpoint, never by public URL.</w:t>
            </w:r>
          </w:p>
        </w:tc>
      </w:tr>
      <w:tr>
        <w:trPr>
          <w:cantSplit/>
          <w:tblHeader w:val="off"/>
        </w:trPr>
        <w:tc>
          <w:tcPr>
            <w:tcW w:type="dxa" w:w="1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Billing (B-16–B-18)</w:t>
            </w:r>
          </w:p>
        </w:tc>
        <w:tc>
          <w:tcPr>
            <w:tcW w:type="dxa" w:w="8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Totals recomputed server-side on every change; invoice numbers from a per-clinic sequence row locked in the transaction; payments and invoice balance updated in one transaction; voids instead of deletes.</w:t>
            </w:r>
          </w:p>
        </w:tc>
      </w:tr>
      <w:tr>
        <w:trPr>
          <w:cantSplit/>
          <w:tblHeader w:val="off"/>
        </w:trPr>
        <w:tc>
          <w:tcPr>
            <w:tcW w:type="dxa" w:w="1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Inventory (B-19–B-22)</w:t>
            </w:r>
          </w:p>
        </w:tc>
        <w:tc>
          <w:tcPr>
            <w:tcW w:type="dxa" w:w="8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stock_lots.quantity</w:t>
            </w:r>
            <w:r>
              <w:rPr>
                <w:sz w:val="19"/>
                <w:szCs w:val="19"/>
              </w:rPr>
              <w:t xml:space="preserve"> changed only by the service that writes the matching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stock_movements</w:t>
            </w:r>
            <w:r>
              <w:rPr>
                <w:sz w:val="19"/>
                <w:szCs w:val="19"/>
              </w:rPr>
              <w:t xml:space="preserve"> row in the same transaction, with a row lock on the lot; CHECK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quantity &gt;= 0</w:t>
            </w:r>
            <w:r>
              <w:rPr>
                <w:sz w:val="19"/>
                <w:szCs w:val="19"/>
              </w:rPr>
              <w:t xml:space="preserve"> unless Q-5 decides otherwise.</w:t>
            </w:r>
          </w:p>
        </w:tc>
      </w:tr>
      <w:tr>
        <w:trPr>
          <w:cantSplit/>
          <w:tblHeader w:val="off"/>
        </w:trPr>
        <w:tc>
          <w:tcPr>
            <w:tcW w:type="dxa" w:w="1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Reports (B-23–B-24)</w:t>
            </w:r>
          </w:p>
        </w:tc>
        <w:tc>
          <w:tcPr>
            <w:tcW w:type="dxa" w:w="8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Read-only queries through the tenant filter; heavy reports may later use a read replica (X-04).</w:t>
            </w:r>
          </w:p>
        </w:tc>
      </w:tr>
      <w:tr>
        <w:trPr>
          <w:cantSplit/>
          <w:tblHeader w:val="off"/>
        </w:trPr>
        <w:tc>
          <w:tcPr>
            <w:tcW w:type="dxa" w:w="1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Audit query (B-27)</w:t>
            </w:r>
          </w:p>
        </w:tc>
        <w:tc>
          <w:tcPr>
            <w:tcW w:type="dxa" w:w="8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audit_logs</w:t>
            </w:r>
            <w:r>
              <w:rPr>
                <w:sz w:val="19"/>
                <w:szCs w:val="19"/>
              </w:rPr>
              <w:t xml:space="preserve"> is not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IClinicOwned</w:t>
            </w:r>
            <w:r>
              <w:rPr>
                <w:sz w:val="19"/>
                <w:szCs w:val="19"/>
              </w:rPr>
              <w:t xml:space="preserve">; use one shared, tested helper that filters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clinic_id</w:t>
            </w:r>
            <w:r>
              <w:rPr>
                <w:sz w:val="19"/>
                <w:szCs w:val="19"/>
              </w:rPr>
              <w:t xml:space="preserve"> explicitly.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Deployment view</w:t>
      </w:r>
    </w:p>
    <w:p>
      <w:pPr>
        <w:spacing w:after="140"/>
      </w:pPr>
      <w:r>
        <w:t xml:space="preserve">Target (decided in X-05): one stateless API container image behind a TLS-terminating reverse proxy, managed PostgreSQL, object storage. Requirements already known: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Forwarded headers configured so the app sees HTTPS and the client address (rate limiting and CSRF depend on 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Protection key ring persisted and encrypted, shared by all instances.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Separate database roles: schema owner for migrations, restricted role for the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Migrations applied as a deployment step (idempotent script or migration bundle), never at startup.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served from the same site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/api</w:t>
      </w:r>
      <w:r>
        <w:t xml:space="preserve">.</w:t>
      </w:r>
    </w:p>
    <w:p>
      <w:pPr>
        <w:spacing w:after="60"/>
      </w:pPr>
    </w:p>
    <w:p>
      <w:pPr>
        <w:spacing w:after="140"/>
      </w:pPr>
      <w:r>
        <w:t xml:space="preserve">Operating procedures are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RUNBOOK.md</w:t>
      </w:r>
      <w:r>
        <w:t xml:space="preserve">.</w:t>
      </w:r>
    </w:p>
    <w:p>
      <w:pPr>
        <w:pStyle w:val="Heading1"/>
      </w:pPr>
      <w:r>
        <w:t xml:space="preserve">10. Design risks and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1"/>
        <w:gridCol w:w="4429"/>
      </w:tblGrid>
      <w:tr>
        <w:trPr>
          <w:cantSplit/>
          <w:tblHeader/>
        </w:trPr>
        <w:tc>
          <w:tcPr>
            <w:tcW w:type="dxa" w:w="4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4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Current handling</w:t>
            </w:r>
          </w:p>
        </w:tc>
      </w:tr>
      <w:tr>
        <w:trPr>
          <w:cantSplit/>
          <w:tblHeader w:val="off"/>
        </w:trPr>
        <w:tc>
          <w:tcPr>
            <w:tcW w:type="dxa" w:w="4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Lockout can be abused to deny service to a known email</w:t>
            </w:r>
          </w:p>
        </w:tc>
        <w:tc>
          <w:tcPr>
            <w:tcW w:type="dxa" w:w="4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Accepted in ADR-003; mitigations listed there.</w:t>
            </w:r>
          </w:p>
        </w:tc>
      </w:tr>
      <w:tr>
        <w:trPr>
          <w:cantSplit/>
          <w:tblHeader w:val="off"/>
        </w:trPr>
        <w:tc>
          <w:tcPr>
            <w:tcW w:type="dxa" w:w="4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Restarting without persisted Data Protection keys signs everyone out</w:t>
            </w:r>
          </w:p>
        </w:tc>
        <w:tc>
          <w:tcPr>
            <w:tcW w:type="dxa" w:w="4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Deferred to X-05.</w:t>
            </w:r>
          </w:p>
        </w:tc>
      </w:tr>
      <w:tr>
        <w:trPr>
          <w:cantSplit/>
          <w:tblHeader w:val="off"/>
        </w:trPr>
        <w:tc>
          <w:tcPr>
            <w:tcW w:type="dxa" w:w="4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Table owner can disable audit triggers</w:t>
            </w:r>
          </w:p>
        </w:tc>
        <w:tc>
          <w:tcPr>
            <w:tcW w:type="dxa" w:w="4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Separate DB roles in X-05.</w:t>
            </w:r>
          </w:p>
        </w:tc>
      </w:tr>
      <w:tr>
        <w:trPr>
          <w:cantSplit/>
          <w:tblHeader w:val="off"/>
        </w:trPr>
        <w:tc>
          <w:tcPr>
            <w:tcW w:type="dxa" w:w="4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One DB read per request for session validation</w:t>
            </w:r>
          </w:p>
        </w:tc>
        <w:tc>
          <w:tcPr>
            <w:tcW w:type="dxa" w:w="4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Acceptable at clinic scale; revisit in X-04.</w:t>
            </w:r>
          </w:p>
        </w:tc>
      </w:tr>
      <w:tr>
        <w:trPr>
          <w:cantSplit/>
          <w:tblHeader w:val="off"/>
        </w:trPr>
        <w:tc>
          <w:tcPr>
            <w:tcW w:type="dxa" w:w="4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Offset pagination slows on very large tables</w:t>
            </w:r>
          </w:p>
        </w:tc>
        <w:tc>
          <w:tcPr>
            <w:tcW w:type="dxa" w:w="4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Cursor pagination allowed per endpoint later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API.md</w:t>
            </w:r>
            <w:r>
              <w:rPr>
                <w:sz w:val="19"/>
                <w:szCs w:val="19"/>
              </w:rPr>
              <w:t xml:space="preserve"> section 13).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Veterinary Management Platform · Software Design Description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:tentative="1">
      <w:start w:val="4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4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keepLines/>
      <w:spacing w:after="140" w:before="36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6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Arial" w:cs="Arial" w:eastAsia="Arial" w:hAnsi="Arial"/>
      <w:b/>
      <w:bCs/>
      <w:color w:val="2E5C8A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keepLines/>
      <w:spacing w:after="60" w:before="160"/>
      <w:outlineLvl w:val="3"/>
    </w:pPr>
    <w:rPr>
      <w:rFonts w:ascii="Arial" w:cs="Arial" w:eastAsia="Arial" w:hAnsi="Arial"/>
      <w:b/>
      <w:bCs/>
      <w:i/>
      <w:iCs/>
      <w:color w:val="333333"/>
      <w:sz w:val="21"/>
      <w:szCs w:val="21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f7bc58a1a562c14f284aafeae70ab0ac0c33969.png"/><Relationship Id="rId10" Type="http://schemas.openxmlformats.org/officeDocument/2006/relationships/image" Target="media/84321dceba1a635695492c3030af292bfdd957c9.png"/><Relationship Id="rId11" Type="http://schemas.openxmlformats.org/officeDocument/2006/relationships/image" Target="media/1abda747dd5dc11d8752b5da5772cecc889da94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Description</dc:title>
  <dc:creator>Veterinary Management Platform</dc:creator>
  <cp:lastModifiedBy>Un-named</cp:lastModifiedBy>
  <cp:revision>1</cp:revision>
  <dcterms:created xsi:type="dcterms:W3CDTF">2026-10-13T15:59:57.631Z</dcterms:created>
  <dcterms:modified xsi:type="dcterms:W3CDTF">2026-10-13T15:59:57.639Z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