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Pr>
        <w:drawing>
          <wp:inline distB="19050" distT="19050" distL="19050" distR="19050">
            <wp:extent cx="1800225" cy="1800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02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222.09800720214844" w:right="160.10498046875" w:firstLine="0"/>
        <w:jc w:val="center"/>
        <w:rPr>
          <w:rFonts w:ascii="Roboto" w:cs="Roboto" w:eastAsia="Roboto" w:hAnsi="Roboto"/>
          <w:b w:val="1"/>
          <w:bCs w:val="1"/>
          <w:i w:val="0"/>
          <w:iCs w:val="0"/>
          <w:smallCaps w:val="0"/>
          <w:strike w:val="0"/>
          <w:color w:val="0a365c"/>
          <w:sz w:val="38"/>
          <w:szCs w:val="38"/>
          <w:u w:val="none"/>
          <w:shd w:fill="auto" w:val="clear"/>
          <w:vertAlign w:val="baseline"/>
        </w:rPr>
      </w:pPr>
      <w:r w:rsidDel="00000000" w:rsidR="00000000" w:rsidRPr="00000000">
        <w:rPr>
          <w:rFonts w:ascii="Roboto" w:cs="Roboto" w:eastAsia="Roboto" w:hAnsi="Roboto"/>
          <w:b w:val="1"/>
          <w:bCs w:val="1"/>
          <w:i w:val="0"/>
          <w:iCs w:val="0"/>
          <w:smallCaps w:val="0"/>
          <w:strike w:val="0"/>
          <w:color w:val="0a365c"/>
          <w:sz w:val="38"/>
          <w:szCs w:val="38"/>
          <w:u w:val="none"/>
          <w:shd w:fill="auto" w:val="clear"/>
          <w:vertAlign w:val="baseline"/>
          <w:rtl w:val="0"/>
        </w:rPr>
        <w:t xml:space="preserve">ESG TRENDS RADAR Y ARQUITECTURA DE VALOR PARA EL MARKETING SOSTENIBLE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44140625" w:line="240" w:lineRule="auto"/>
        <w:ind w:left="0" w:right="0" w:firstLine="0"/>
        <w:jc w:val="center"/>
        <w:rPr>
          <w:rFonts w:ascii="Roboto" w:cs="Roboto" w:eastAsia="Roboto" w:hAnsi="Roboto"/>
          <w:b w:val="1"/>
          <w:bCs w:val="1"/>
          <w:i w:val="0"/>
          <w:iCs w:val="0"/>
          <w:smallCaps w:val="0"/>
          <w:strike w:val="0"/>
          <w:color w:val="55555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555555"/>
          <w:sz w:val="24"/>
          <w:szCs w:val="24"/>
          <w:u w:val="none"/>
          <w:shd w:fill="auto" w:val="clear"/>
          <w:vertAlign w:val="baseline"/>
          <w:rtl w:val="0"/>
        </w:rPr>
        <w:t xml:space="preserve">Inteligencia ESG, evidencia circular y protocolo de evaluación de campo AV-EXP-01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943359375" w:line="240" w:lineRule="auto"/>
        <w:ind w:left="0" w:right="0" w:firstLine="0"/>
        <w:jc w:val="left"/>
        <w:rPr>
          <w:rFonts w:ascii="Roboto" w:cs="Roboto" w:eastAsia="Roboto" w:hAnsi="Roboto"/>
          <w:b w:val="1"/>
          <w:bCs w:val="1"/>
          <w:color w:val="5555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i w:val="0"/>
          <w:iCs w:val="0"/>
          <w:smallCaps w:val="0"/>
          <w:strike w:val="0"/>
          <w:color w:val="555555"/>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555555"/>
          <w:sz w:val="20"/>
          <w:szCs w:val="20"/>
          <w:u w:val="none"/>
          <w:shd w:fill="auto" w:val="clear"/>
          <w:vertAlign w:val="baseline"/>
          <w:rtl w:val="0"/>
        </w:rPr>
        <w:t xml:space="preserve">Jesús Patricio Blasco Valencia</w:t>
      </w:r>
      <w:r w:rsidDel="00000000" w:rsidR="00000000" w:rsidRPr="00000000">
        <w:rPr>
          <w:rFonts w:ascii="Roboto" w:cs="Roboto" w:eastAsia="Roboto" w:hAnsi="Roboto"/>
          <w:i w:val="0"/>
          <w:iCs w:val="0"/>
          <w:smallCaps w:val="0"/>
          <w:strike w:val="0"/>
          <w:color w:val="555555"/>
          <w:sz w:val="20"/>
          <w:szCs w:val="20"/>
          <w:u w:val="none"/>
          <w:shd w:fill="auto" w:val="clear"/>
          <w:vertAlign w:val="baseline"/>
          <w:rtl w:val="0"/>
        </w:rPr>
        <w:t xml:space="preserve"> · Director de Tiempos Sustentables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Roboto" w:cs="Roboto" w:eastAsia="Roboto" w:hAnsi="Roboto"/>
          <w:i w:val="0"/>
          <w:iCs w:val="0"/>
          <w:smallCaps w:val="0"/>
          <w:strike w:val="0"/>
          <w:color w:val="555555"/>
          <w:sz w:val="20"/>
          <w:szCs w:val="20"/>
          <w:u w:val="none"/>
          <w:shd w:fill="auto" w:val="clear"/>
          <w:vertAlign w:val="baseline"/>
        </w:rPr>
      </w:pPr>
      <w:r w:rsidDel="00000000" w:rsidR="00000000" w:rsidRPr="00000000">
        <w:rPr>
          <w:rFonts w:ascii="Roboto" w:cs="Roboto" w:eastAsia="Roboto" w:hAnsi="Roboto"/>
          <w:i w:val="0"/>
          <w:iCs w:val="0"/>
          <w:smallCaps w:val="0"/>
          <w:strike w:val="0"/>
          <w:color w:val="555555"/>
          <w:sz w:val="20"/>
          <w:szCs w:val="20"/>
          <w:u w:val="none"/>
          <w:shd w:fill="auto" w:val="clear"/>
          <w:vertAlign w:val="baseline"/>
          <w:rtl w:val="0"/>
        </w:rPr>
        <w:t xml:space="preserve">ORCID: </w:t>
      </w:r>
      <w:hyperlink r:id="rId7">
        <w:r w:rsidDel="00000000" w:rsidR="00000000" w:rsidRPr="00000000">
          <w:rPr>
            <w:rFonts w:ascii="Roboto" w:cs="Roboto" w:eastAsia="Roboto" w:hAnsi="Roboto"/>
            <w:i w:val="0"/>
            <w:iCs w:val="0"/>
            <w:smallCaps w:val="0"/>
            <w:strike w:val="0"/>
            <w:color w:val="1155cc"/>
            <w:sz w:val="20"/>
            <w:szCs w:val="20"/>
            <w:u w:val="single"/>
            <w:shd w:fill="auto" w:val="clear"/>
            <w:vertAlign w:val="baseline"/>
            <w:rtl w:val="0"/>
          </w:rPr>
          <w:t xml:space="preserve">https://orcid.org/0009-0002-4839-104X </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747.9499816894531" w:right="746.903076171875" w:firstLine="0"/>
        <w:jc w:val="center"/>
        <w:rPr>
          <w:color w:val="555555"/>
        </w:rPr>
      </w:pPr>
      <w:r w:rsidDel="00000000" w:rsidR="00000000" w:rsidRPr="00000000">
        <w:rPr>
          <w:rFonts w:ascii="Roboto" w:cs="Roboto" w:eastAsia="Roboto" w:hAnsi="Roboto"/>
          <w:b w:val="1"/>
          <w:bCs w:val="1"/>
          <w:i w:val="0"/>
          <w:iCs w:val="0"/>
          <w:smallCaps w:val="0"/>
          <w:strike w:val="0"/>
          <w:color w:val="555555"/>
          <w:sz w:val="20"/>
          <w:szCs w:val="20"/>
          <w:u w:val="none"/>
          <w:shd w:fill="auto" w:val="clear"/>
          <w:vertAlign w:val="baseline"/>
          <w:rtl w:val="0"/>
        </w:rPr>
        <w:t xml:space="preserve">Tiempos Sustentables</w:t>
      </w:r>
      <w:r w:rsidDel="00000000" w:rsidR="00000000" w:rsidRPr="00000000">
        <w:rPr>
          <w:rFonts w:ascii="Roboto" w:cs="Roboto" w:eastAsia="Roboto" w:hAnsi="Roboto"/>
          <w:i w:val="0"/>
          <w:iCs w:val="0"/>
          <w:smallCaps w:val="0"/>
          <w:strike w:val="0"/>
          <w:color w:val="555555"/>
          <w:sz w:val="20"/>
          <w:szCs w:val="20"/>
          <w:u w:val="none"/>
          <w:shd w:fill="auto" w:val="clear"/>
          <w:vertAlign w:val="baseline"/>
          <w:rtl w:val="0"/>
        </w:rPr>
        <w:t xml:space="preserve"> · Plataforma de inteligencia en sostenibilidad corporativa y revista de publicación seriada ISSN 3087-3096 · ISSN-L 3087-3096</w:t>
      </w:r>
      <w:r w:rsidDel="00000000" w:rsidR="00000000" w:rsidRPr="00000000">
        <w:rPr>
          <w:color w:val="555555"/>
          <w:rtl w:val="0"/>
        </w:rPr>
        <w:t xml:space="preserve"> </w:t>
      </w:r>
      <w:hyperlink r:id="rId8">
        <w:r w:rsidDel="00000000" w:rsidR="00000000" w:rsidRPr="00000000">
          <w:rPr>
            <w:color w:val="1155cc"/>
            <w:u w:val="single"/>
            <w:rtl w:val="0"/>
          </w:rPr>
          <w:t xml:space="preserve">tiempossustentables.c</w:t>
        </w:r>
      </w:hyperlink>
      <w:hyperlink r:id="rId9">
        <w:r w:rsidDel="00000000" w:rsidR="00000000" w:rsidRPr="00000000">
          <w:rPr>
            <w:color w:val="1155cc"/>
            <w:u w:val="single"/>
            <w:rtl w:val="0"/>
          </w:rPr>
          <w:t xml:space="preserve">l</w:t>
        </w:r>
      </w:hyperlink>
      <w:r w:rsidDel="00000000" w:rsidR="00000000" w:rsidRPr="00000000">
        <w:rPr>
          <w:rFonts w:ascii="Roboto" w:cs="Roboto" w:eastAsia="Roboto" w:hAnsi="Roboto"/>
          <w:i w:val="0"/>
          <w:iCs w:val="0"/>
          <w:smallCaps w:val="0"/>
          <w:strike w:val="0"/>
          <w:color w:val="555555"/>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66.4" w:lineRule="auto"/>
        <w:ind w:left="747.9499816894531" w:right="746.903076171875" w:firstLine="0"/>
        <w:jc w:val="center"/>
        <w:rPr>
          <w:b w:val="1"/>
          <w:bCs w:val="1"/>
          <w:i w:val="1"/>
          <w:iCs w:val="1"/>
          <w:color w:val="555555"/>
          <w:sz w:val="20"/>
          <w:szCs w:val="20"/>
        </w:rPr>
      </w:pPr>
      <w:r w:rsidDel="00000000" w:rsidR="00000000" w:rsidRPr="00000000">
        <w:rPr>
          <w:b w:val="1"/>
          <w:bCs w:val="1"/>
          <w:i w:val="1"/>
          <w:iCs w:val="1"/>
          <w:smallCaps w:val="0"/>
          <w:strike w:val="0"/>
          <w:color w:val="555555"/>
          <w:sz w:val="20"/>
          <w:szCs w:val="20"/>
          <w:u w:val="none"/>
          <w:vertAlign w:val="baseline"/>
          <w:rtl w:val="0"/>
        </w:rPr>
        <w:t xml:space="preserve">Santiago de Chile, 28 de octubre de 2026</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center"/>
        <w:rPr>
          <w:rFonts w:ascii="Roboto" w:cs="Roboto" w:eastAsia="Roboto" w:hAnsi="Roboto"/>
          <w:color w:val="555555"/>
          <w:sz w:val="20"/>
          <w:szCs w:val="20"/>
        </w:rPr>
      </w:pPr>
      <w:r w:rsidDel="00000000" w:rsidR="00000000" w:rsidRPr="00000000">
        <w:rPr>
          <w:rFonts w:ascii="Roboto" w:cs="Roboto" w:eastAsia="Roboto" w:hAnsi="Roboto"/>
          <w:color w:val="555555"/>
          <w:sz w:val="20"/>
          <w:szCs w:val="20"/>
          <w:rtl w:val="0"/>
        </w:rPr>
        <w:t xml:space="preserve">Fundamento metodológico para revisión pública.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Roboto" w:cs="Roboto" w:eastAsia="Roboto" w:hAnsi="Roboto"/>
          <w:b w:val="1"/>
          <w:bCs w:val="1"/>
          <w:i w:val="0"/>
          <w:iCs w:val="0"/>
          <w:smallCaps w:val="0"/>
          <w:strike w:val="0"/>
          <w:color w:val="555555"/>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555555"/>
          <w:sz w:val="20"/>
          <w:szCs w:val="20"/>
          <w:u w:val="none"/>
          <w:shd w:fill="auto" w:val="clear"/>
          <w:vertAlign w:val="baseline"/>
          <w:rtl w:val="0"/>
        </w:rPr>
        <w:t xml:space="preserve">© Tiempos Sustentables, 2026 · CC BY 4.0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400" w:before="15" w:line="240" w:lineRule="auto"/>
        <w:ind w:left="0" w:right="0" w:firstLine="0"/>
        <w:jc w:val="center"/>
        <w:rPr>
          <w:rFonts w:ascii="Roboto" w:cs="Roboto" w:eastAsia="Roboto" w:hAnsi="Roboto"/>
          <w:b w:val="1"/>
          <w:bCs w:val="1"/>
          <w:color w:val="5555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pBdr>
          <w:left w:color="1a4a75" w:space="4" w:sz="36" w:val="single"/>
        </w:pBdr>
        <w:shd w:fill="cfe2f3" w:val="clear"/>
        <w:rPr/>
      </w:pPr>
      <w:bookmarkStart w:colFirst="0" w:colLast="0" w:name="_pl4hqqiplsc4" w:id="0"/>
      <w:bookmarkEnd w:id="0"/>
      <w:r w:rsidDel="00000000" w:rsidR="00000000" w:rsidRPr="00000000">
        <w:rPr>
          <w:vertAlign w:val="baseline"/>
          <w:rtl w:val="0"/>
        </w:rPr>
        <w:t xml:space="preserve">RESUMEN EJECUTIVO</w:t>
      </w:r>
      <w:r w:rsidDel="00000000" w:rsidR="00000000" w:rsidRPr="00000000">
        <w:rPr>
          <w:rtl w:val="0"/>
        </w:rPr>
      </w:r>
    </w:p>
    <w:p w:rsidR="00000000" w:rsidDel="00000000" w:rsidP="00000000" w:rsidRDefault="00000000" w:rsidRPr="00000000" w14:paraId="0000000D">
      <w:pPr>
        <w:pBdr>
          <w:left w:color="1a4a75" w:space="4" w:sz="36" w:val="single"/>
        </w:pBdr>
        <w:shd w:fill="cfe2f3" w:val="clear"/>
        <w:rPr/>
      </w:pPr>
      <w:r w:rsidDel="00000000" w:rsidR="00000000" w:rsidRPr="00000000">
        <w:rPr>
          <w:rtl w:val="0"/>
        </w:rPr>
        <w:t xml:space="preserve">ESG Trends Radar se presenta como la herramienta de inteligencia ESG de Tiempos Sustentables que organiza señales ambientales, sociales, regulatorias y financieras para orientar decisiones corporativas en Chile y América Latina. Este artículo-report establece su relación metodológica con la Arquitectura de Valor: el Radar identifica y prioriza qué merece atención; Cabeza Fría, Corazón Activo y Manos Firmes traducen esa prioridad en decisiones económicas, propuestas útiles, ejecución y evidencia.</w:t>
      </w:r>
    </w:p>
    <w:p w:rsidR="00000000" w:rsidDel="00000000" w:rsidP="00000000" w:rsidRDefault="00000000" w:rsidRPr="00000000" w14:paraId="0000000E">
      <w:pPr>
        <w:pBdr>
          <w:left w:color="1a4a75" w:space="4" w:sz="36" w:val="single"/>
        </w:pBdr>
        <w:shd w:fill="cfe2f3" w:val="clear"/>
        <w:rPr/>
      </w:pPr>
      <w:r w:rsidDel="00000000" w:rsidR="00000000" w:rsidRPr="00000000">
        <w:rPr>
          <w:rtl w:val="0"/>
        </w:rPr>
        <w:t xml:space="preserve">La base documental reúne 18 registros reportados por Unilever, Natura &amp; Co, SERNAC y NYU Stern CSB. Su función es contextualizar decisiones, no formar una base armonizada de efectos causales. Se distinguen volumen de materiales, indicadores corporativos de circularidad, percepciones de información y desempeño comercial observado. Sus diferencias de alcance no se eliminan para construir un relato único.</w:t>
      </w:r>
    </w:p>
    <w:p w:rsidR="00000000" w:rsidDel="00000000" w:rsidP="00000000" w:rsidRDefault="00000000" w:rsidRPr="00000000" w14:paraId="0000000F">
      <w:pPr>
        <w:pBdr>
          <w:left w:color="1a4a75" w:space="4" w:sz="36" w:val="single"/>
        </w:pBdr>
        <w:shd w:fill="cfe2f3" w:val="clear"/>
        <w:rPr/>
      </w:pPr>
      <w:r w:rsidDel="00000000" w:rsidR="00000000" w:rsidRPr="00000000">
        <w:rPr>
          <w:rtl w:val="0"/>
        </w:rPr>
        <w:t xml:space="preserve">El módulo del Radar conserva una valoración editorial provisional de 75,6/100 —76 redondeado, nivel Alto—, resultado de corregir un error aritmético anterior. Ni esa cifra ni las fuentes prueban la eficacia del ecosistema. Se propone AV-EXP-01 como ensayo de tres brazos para evaluar un caso delimitado de envase y comunicación. No se ha ejecutado.</w:t>
      </w:r>
    </w:p>
    <w:p w:rsidR="00000000" w:rsidDel="00000000" w:rsidP="00000000" w:rsidRDefault="00000000" w:rsidRPr="00000000" w14:paraId="00000010">
      <w:pPr>
        <w:pBdr>
          <w:left w:color="1a4a75" w:space="4" w:sz="36" w:val="single"/>
        </w:pBdr>
        <w:shd w:fill="cfe2f3" w:val="clear"/>
        <w:rPr/>
      </w:pPr>
      <w:r w:rsidDel="00000000" w:rsidR="00000000" w:rsidRPr="00000000">
        <w:rPr>
          <w:rtl w:val="0"/>
        </w:rPr>
        <w:t xml:space="preserve">La contribución del trabajo es una arquitectura de decisión revisable: señal, validación documental, prioridad, materialidad, intervención, medición y retroalimentación. La publicación del método permite escrutinio público; no equivale a validación empírica.</w:t>
      </w:r>
    </w:p>
    <w:p w:rsidR="00000000" w:rsidDel="00000000" w:rsidP="00000000" w:rsidRDefault="00000000" w:rsidRPr="00000000" w14:paraId="00000011">
      <w:pPr>
        <w:pBdr>
          <w:left w:color="1a4a75" w:space="4" w:sz="36" w:val="single"/>
        </w:pBdr>
        <w:shd w:fill="cfe2f3" w:val="clear"/>
        <w:rPr>
          <w:i w:val="1"/>
          <w:iCs w:val="1"/>
        </w:rPr>
      </w:pPr>
      <w:r w:rsidDel="00000000" w:rsidR="00000000" w:rsidRPr="00000000">
        <w:rPr>
          <w:b w:val="1"/>
          <w:bCs w:val="1"/>
          <w:i w:val="1"/>
          <w:iCs w:val="1"/>
          <w:vertAlign w:val="baseline"/>
          <w:rtl w:val="0"/>
        </w:rPr>
        <w:t xml:space="preserve">Palabras clave:</w:t>
      </w:r>
      <w:r w:rsidDel="00000000" w:rsidR="00000000" w:rsidRPr="00000000">
        <w:rPr>
          <w:i w:val="1"/>
          <w:iCs w:val="1"/>
          <w:vertAlign w:val="baseline"/>
          <w:rtl w:val="0"/>
        </w:rPr>
        <w:t xml:space="preserve"> ESG Trends Radar; Arquitectura de Valor; marketing sostenible; doble materialidad; economía circular; Ley REP; alegaciones ambientales; evaluación de campo. JEL: M31, Q01, Q56.</w:t>
      </w:r>
      <w:r w:rsidDel="00000000" w:rsidR="00000000" w:rsidRPr="00000000">
        <w:rPr>
          <w:rtl w:val="0"/>
        </w:rPr>
      </w:r>
    </w:p>
    <w:p w:rsidR="00000000" w:rsidDel="00000000" w:rsidP="00000000" w:rsidRDefault="00000000" w:rsidRPr="00000000" w14:paraId="00000012">
      <w:pPr>
        <w:pStyle w:val="Heading1"/>
        <w:pBdr>
          <w:left w:color="1a4a75" w:space="4" w:sz="36" w:val="single"/>
        </w:pBdr>
        <w:shd w:fill="cfe2f3" w:val="clear"/>
        <w:rPr/>
      </w:pPr>
      <w:bookmarkStart w:colFirst="0" w:colLast="0" w:name="_76wzyktbcdjp" w:id="1"/>
      <w:bookmarkEnd w:id="1"/>
      <w:r w:rsidDel="00000000" w:rsidR="00000000" w:rsidRPr="00000000">
        <w:rPr>
          <w:rtl w:val="0"/>
        </w:rPr>
        <w:t xml:space="preserve">ABSTRACT</w:t>
      </w:r>
    </w:p>
    <w:p w:rsidR="00000000" w:rsidDel="00000000" w:rsidP="00000000" w:rsidRDefault="00000000" w:rsidRPr="00000000" w14:paraId="00000013">
      <w:pPr>
        <w:pBdr>
          <w:left w:color="1a4a75" w:space="4" w:sz="36" w:val="single"/>
        </w:pBdr>
        <w:shd w:fill="cfe2f3" w:val="clear"/>
        <w:rPr/>
      </w:pPr>
      <w:r w:rsidDel="00000000" w:rsidR="00000000" w:rsidRPr="00000000">
        <w:rPr>
          <w:rtl w:val="0"/>
        </w:rPr>
        <w:t xml:space="preserve">ESG Trends Radar is framed as Tiempos Sustentables' ESG intelligence tool for organizing signals and informing corporate decisions. This methodological report links editorial signal prioritization to Value Architecture: economic discipline, useful and accessible value propositions, and traceable execution. Eighteen reported observations provide context but are not harmonized causal evidence. The corrected Radar score of 75.6/100 remains provisional. AV-EXP-01 is a proposed, unexecuted three-arm field evaluation of a physical packaging intervention and additional substantiated communication. The report supports public methodological scrutiny, not a claim of validated ecosystem effectiveness.</w:t>
      </w:r>
    </w:p>
    <w:p w:rsidR="00000000" w:rsidDel="00000000" w:rsidP="00000000" w:rsidRDefault="00000000" w:rsidRPr="00000000" w14:paraId="00000014">
      <w:pPr>
        <w:pStyle w:val="Heading1"/>
        <w:widowControl w:val="0"/>
        <w:spacing w:after="200" w:before="600" w:line="268.8" w:lineRule="auto"/>
        <w:ind w:left="5.138092041015625" w:right="8.93310546875" w:firstLine="21.838531494140625"/>
        <w:jc w:val="both"/>
        <w:rPr/>
      </w:pPr>
      <w:bookmarkStart w:colFirst="0" w:colLast="0" w:name="_sudzc3vbsefd" w:id="2"/>
      <w:bookmarkEnd w:id="2"/>
      <w:r w:rsidDel="00000000" w:rsidR="00000000" w:rsidRPr="00000000">
        <w:rPr>
          <w:rtl w:val="0"/>
        </w:rPr>
        <w:t xml:space="preserve">ÍNDICE</w:t>
      </w:r>
    </w:p>
    <w:sdt>
      <w:sdtPr>
        <w:id w:val="-1483534488"/>
        <w:docPartObj>
          <w:docPartGallery w:val="Table of Contents"/>
          <w:docPartUnique w:val="1"/>
        </w:docPartObj>
      </w:sdtPr>
      <w:sdtContent>
        <w:p w:rsidR="00000000" w:rsidDel="00000000" w:rsidP="00000000" w:rsidRDefault="00000000" w:rsidRPr="00000000" w14:paraId="00000015">
          <w:pPr>
            <w:widowControl w:val="0"/>
            <w:tabs>
              <w:tab w:val="right" w:leader="dot" w:pos="9945.65249705878"/>
            </w:tabs>
            <w:spacing w:after="0" w:before="60" w:line="240" w:lineRule="auto"/>
            <w:ind w:left="0" w:right="0"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pl4hqqiplsc4">
            <w:r w:rsidDel="00000000" w:rsidR="00000000" w:rsidRPr="00000000">
              <w:rPr>
                <w:b w:val="1"/>
                <w:bCs w:val="1"/>
                <w:color w:val="000000"/>
                <w:u w:val="none"/>
                <w:rtl w:val="0"/>
              </w:rPr>
              <w:t xml:space="preserve">RESUMEN EJECUTIVO</w:t>
              <w:tab/>
            </w:r>
          </w:hyperlink>
          <w:r w:rsidDel="00000000" w:rsidR="00000000" w:rsidRPr="00000000">
            <w:fldChar w:fldCharType="begin"/>
            <w:instrText xml:space="preserve"> PAGEREF _pl4hqqiplsc4 \h </w:instrText>
            <w:fldChar w:fldCharType="separate"/>
          </w:r>
          <w:r w:rsidDel="00000000" w:rsidR="00000000" w:rsidRPr="00000000">
            <w:rPr>
              <w:b w:val="1"/>
              <w:bCs w:val="1"/>
              <w:color w:val="000000"/>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945.65249705878"/>
            </w:tabs>
            <w:spacing w:after="0" w:before="60" w:line="240" w:lineRule="auto"/>
            <w:ind w:left="0" w:right="0" w:firstLine="0"/>
            <w:jc w:val="left"/>
            <w:rPr>
              <w:b w:val="1"/>
              <w:bCs w:val="1"/>
              <w:color w:val="000000"/>
              <w:u w:val="none"/>
            </w:rPr>
          </w:pPr>
          <w:hyperlink w:anchor="_76wzyktbcdjp">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_76wzyktbcdjp \h </w:instrText>
            <w:fldChar w:fldCharType="separate"/>
          </w:r>
          <w:r w:rsidDel="00000000" w:rsidR="00000000" w:rsidRPr="00000000">
            <w:rPr>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945.65249705878"/>
            </w:tabs>
            <w:spacing w:after="0" w:before="60" w:line="240" w:lineRule="auto"/>
            <w:ind w:left="0" w:right="0" w:firstLine="0"/>
            <w:jc w:val="left"/>
            <w:rPr>
              <w:b w:val="1"/>
              <w:bCs w:val="1"/>
              <w:color w:val="000000"/>
              <w:u w:val="none"/>
            </w:rPr>
          </w:pPr>
          <w:hyperlink w:anchor="_sudzc3vbsefd">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_sudzc3vbsefd \h </w:instrText>
            <w:fldChar w:fldCharType="separate"/>
          </w:r>
          <w:r w:rsidDel="00000000" w:rsidR="00000000" w:rsidRPr="00000000">
            <w:rPr>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945.65249705878"/>
            </w:tabs>
            <w:spacing w:after="0" w:before="60" w:line="240" w:lineRule="auto"/>
            <w:ind w:left="0" w:right="0" w:firstLine="0"/>
            <w:jc w:val="left"/>
            <w:rPr>
              <w:b w:val="1"/>
              <w:bCs w:val="1"/>
              <w:color w:val="000000"/>
              <w:u w:val="none"/>
            </w:rPr>
          </w:pPr>
          <w:hyperlink w:anchor="_7eszk5lnsquk">
            <w:r w:rsidDel="00000000" w:rsidR="00000000" w:rsidRPr="00000000">
              <w:rPr>
                <w:b w:val="1"/>
                <w:bCs w:val="1"/>
                <w:color w:val="000000"/>
                <w:u w:val="none"/>
                <w:rtl w:val="0"/>
              </w:rPr>
              <w:t xml:space="preserve">1. PROPÓSITO: INTELIGENCIA QUE SE TRADUCE EN DECISIONES</w:t>
              <w:tab/>
            </w:r>
          </w:hyperlink>
          <w:r w:rsidDel="00000000" w:rsidR="00000000" w:rsidRPr="00000000">
            <w:fldChar w:fldCharType="begin"/>
            <w:instrText xml:space="preserve"> PAGEREF _7eszk5lnsquk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945.65249705878"/>
            </w:tabs>
            <w:spacing w:after="0" w:before="60" w:line="240" w:lineRule="auto"/>
            <w:ind w:left="0" w:right="0" w:firstLine="0"/>
            <w:jc w:val="left"/>
            <w:rPr>
              <w:b w:val="1"/>
              <w:bCs w:val="1"/>
              <w:color w:val="000000"/>
              <w:u w:val="none"/>
            </w:rPr>
          </w:pPr>
          <w:hyperlink w:anchor="_7osktxowajtp">
            <w:r w:rsidDel="00000000" w:rsidR="00000000" w:rsidRPr="00000000">
              <w:rPr>
                <w:b w:val="1"/>
                <w:bCs w:val="1"/>
                <w:color w:val="000000"/>
                <w:u w:val="none"/>
                <w:rtl w:val="0"/>
              </w:rPr>
              <w:t xml:space="preserve">2. MODELO INTEGRADO: RADAR, ARQUITECTURA DE VALOR Y EVALUACIÓN</w:t>
              <w:tab/>
            </w:r>
          </w:hyperlink>
          <w:r w:rsidDel="00000000" w:rsidR="00000000" w:rsidRPr="00000000">
            <w:fldChar w:fldCharType="begin"/>
            <w:instrText xml:space="preserve"> PAGEREF _7osktxowajtp \h </w:instrText>
            <w:fldChar w:fldCharType="separate"/>
          </w:r>
          <w:r w:rsidDel="00000000" w:rsidR="00000000" w:rsidRPr="00000000">
            <w:rPr>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945.65249705878"/>
            </w:tabs>
            <w:spacing w:after="0" w:before="60" w:line="240" w:lineRule="auto"/>
            <w:ind w:left="0" w:right="0" w:firstLine="0"/>
            <w:jc w:val="left"/>
            <w:rPr>
              <w:b w:val="1"/>
              <w:bCs w:val="1"/>
              <w:color w:val="000000"/>
              <w:u w:val="none"/>
            </w:rPr>
          </w:pPr>
          <w:hyperlink w:anchor="_5m7gmak4o7w8">
            <w:r w:rsidDel="00000000" w:rsidR="00000000" w:rsidRPr="00000000">
              <w:rPr>
                <w:b w:val="1"/>
                <w:bCs w:val="1"/>
                <w:color w:val="000000"/>
                <w:u w:val="none"/>
                <w:rtl w:val="0"/>
              </w:rPr>
              <w:t xml:space="preserve">3. CÓMO FUNCIONA LA CURACIÓN DE SEÑALES DEL ESG TRENDS RADAR</w:t>
              <w:tab/>
            </w:r>
          </w:hyperlink>
          <w:r w:rsidDel="00000000" w:rsidR="00000000" w:rsidRPr="00000000">
            <w:fldChar w:fldCharType="begin"/>
            <w:instrText xml:space="preserve"> PAGEREF _5m7gmak4o7w8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945.65249705878"/>
            </w:tabs>
            <w:spacing w:after="0" w:before="60" w:line="240" w:lineRule="auto"/>
            <w:ind w:left="0" w:right="0" w:firstLine="0"/>
            <w:jc w:val="left"/>
            <w:rPr>
              <w:b w:val="1"/>
              <w:bCs w:val="1"/>
              <w:color w:val="000000"/>
              <w:u w:val="none"/>
            </w:rPr>
          </w:pPr>
          <w:hyperlink w:anchor="_48bj98p57xwo">
            <w:r w:rsidDel="00000000" w:rsidR="00000000" w:rsidRPr="00000000">
              <w:rPr>
                <w:b w:val="1"/>
                <w:bCs w:val="1"/>
                <w:color w:val="000000"/>
                <w:u w:val="none"/>
                <w:rtl w:val="0"/>
              </w:rPr>
              <w:t xml:space="preserve">4. BASE DOCUMENTAL: 18 REGISTROS, CUATRO FUNCIONES DE EVIDENCIA</w:t>
              <w:tab/>
            </w:r>
          </w:hyperlink>
          <w:r w:rsidDel="00000000" w:rsidR="00000000" w:rsidRPr="00000000">
            <w:fldChar w:fldCharType="begin"/>
            <w:instrText xml:space="preserve"> PAGEREF _48bj98p57xwo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945.65249705878"/>
            </w:tabs>
            <w:spacing w:after="0" w:before="60" w:line="240" w:lineRule="auto"/>
            <w:ind w:left="360" w:right="0" w:firstLine="0"/>
            <w:jc w:val="left"/>
            <w:rPr>
              <w:color w:val="000000"/>
              <w:u w:val="none"/>
            </w:rPr>
          </w:pPr>
          <w:hyperlink w:anchor="_ytmxhykapar0">
            <w:r w:rsidDel="00000000" w:rsidR="00000000" w:rsidRPr="00000000">
              <w:rPr>
                <w:color w:val="000000"/>
                <w:u w:val="none"/>
                <w:rtl w:val="0"/>
              </w:rPr>
              <w:t xml:space="preserve">4.1 UNILEVER: ESCALA REPORTADA DE MATERIALES</w:t>
              <w:tab/>
            </w:r>
          </w:hyperlink>
          <w:r w:rsidDel="00000000" w:rsidR="00000000" w:rsidRPr="00000000">
            <w:fldChar w:fldCharType="begin"/>
            <w:instrText xml:space="preserve"> PAGEREF _ytmxhykapar0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945.65249705878"/>
            </w:tabs>
            <w:spacing w:after="0" w:before="60" w:line="240" w:lineRule="auto"/>
            <w:ind w:left="360" w:right="0" w:firstLine="0"/>
            <w:jc w:val="left"/>
            <w:rPr>
              <w:color w:val="000000"/>
              <w:u w:val="none"/>
            </w:rPr>
          </w:pPr>
          <w:hyperlink w:anchor="_eolq9662f1d5">
            <w:r w:rsidDel="00000000" w:rsidR="00000000" w:rsidRPr="00000000">
              <w:rPr>
                <w:color w:val="000000"/>
                <w:u w:val="none"/>
                <w:rtl w:val="0"/>
              </w:rPr>
              <w:t xml:space="preserve">4.2 NATURA &amp;CO: INDICADORES QUE NO DEBEN INTERCAMBIARSE</w:t>
              <w:tab/>
            </w:r>
          </w:hyperlink>
          <w:r w:rsidDel="00000000" w:rsidR="00000000" w:rsidRPr="00000000">
            <w:fldChar w:fldCharType="begin"/>
            <w:instrText xml:space="preserve"> PAGEREF _eolq9662f1d5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945.65249705878"/>
            </w:tabs>
            <w:spacing w:after="0" w:before="60" w:line="240" w:lineRule="auto"/>
            <w:ind w:left="360" w:right="0" w:firstLine="0"/>
            <w:jc w:val="left"/>
            <w:rPr>
              <w:color w:val="000000"/>
              <w:u w:val="none"/>
            </w:rPr>
          </w:pPr>
          <w:hyperlink w:anchor="_mafsymw0grf2">
            <w:r w:rsidDel="00000000" w:rsidR="00000000" w:rsidRPr="00000000">
              <w:rPr>
                <w:color w:val="000000"/>
                <w:u w:val="none"/>
                <w:rtl w:val="0"/>
              </w:rPr>
              <w:t xml:space="preserve">4.3 SERNAC: PERCEPCIONES ENTRE PARTICIPANTES</w:t>
              <w:tab/>
            </w:r>
          </w:hyperlink>
          <w:r w:rsidDel="00000000" w:rsidR="00000000" w:rsidRPr="00000000">
            <w:fldChar w:fldCharType="begin"/>
            <w:instrText xml:space="preserve"> PAGEREF _mafsymw0grf2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945.65249705878"/>
            </w:tabs>
            <w:spacing w:after="0" w:before="60" w:line="240" w:lineRule="auto"/>
            <w:ind w:left="360" w:right="0" w:firstLine="0"/>
            <w:jc w:val="left"/>
            <w:rPr>
              <w:color w:val="000000"/>
              <w:u w:val="none"/>
            </w:rPr>
          </w:pPr>
          <w:hyperlink w:anchor="_dh8s0h47g4n9">
            <w:r w:rsidDel="00000000" w:rsidR="00000000" w:rsidRPr="00000000">
              <w:rPr>
                <w:color w:val="000000"/>
                <w:u w:val="none"/>
                <w:rtl w:val="0"/>
              </w:rPr>
              <w:t xml:space="preserve">4.4 NYU: ASOCIACIÓN COMERCIAL, NO EFECTO DEL PCR</w:t>
              <w:tab/>
            </w:r>
          </w:hyperlink>
          <w:r w:rsidDel="00000000" w:rsidR="00000000" w:rsidRPr="00000000">
            <w:fldChar w:fldCharType="begin"/>
            <w:instrText xml:space="preserve"> PAGEREF _dh8s0h47g4n9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945.65249705878"/>
            </w:tabs>
            <w:spacing w:after="0" w:before="60" w:line="240" w:lineRule="auto"/>
            <w:ind w:left="0" w:right="0" w:firstLine="0"/>
            <w:jc w:val="left"/>
            <w:rPr>
              <w:b w:val="1"/>
              <w:bCs w:val="1"/>
              <w:color w:val="000000"/>
              <w:u w:val="none"/>
            </w:rPr>
          </w:pPr>
          <w:hyperlink w:anchor="_vynmzm1lsbra">
            <w:r w:rsidDel="00000000" w:rsidR="00000000" w:rsidRPr="00000000">
              <w:rPr>
                <w:b w:val="1"/>
                <w:bCs w:val="1"/>
                <w:color w:val="000000"/>
                <w:u w:val="none"/>
                <w:rtl w:val="0"/>
              </w:rPr>
              <w:t xml:space="preserve">TRADUCCIÓN AL RADAR</w:t>
              <w:tab/>
            </w:r>
          </w:hyperlink>
          <w:r w:rsidDel="00000000" w:rsidR="00000000" w:rsidRPr="00000000">
            <w:fldChar w:fldCharType="begin"/>
            <w:instrText xml:space="preserve"> PAGEREF _vynmzm1lsbra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945.65249705878"/>
            </w:tabs>
            <w:spacing w:after="0" w:before="60" w:line="240" w:lineRule="auto"/>
            <w:ind w:left="0" w:right="0" w:firstLine="0"/>
            <w:jc w:val="left"/>
            <w:rPr>
              <w:b w:val="1"/>
              <w:bCs w:val="1"/>
              <w:color w:val="000000"/>
              <w:u w:val="none"/>
            </w:rPr>
          </w:pPr>
          <w:hyperlink w:anchor="_dfq6dhkuq65q">
            <w:r w:rsidDel="00000000" w:rsidR="00000000" w:rsidRPr="00000000">
              <w:rPr>
                <w:b w:val="1"/>
                <w:bCs w:val="1"/>
                <w:color w:val="000000"/>
                <w:u w:val="none"/>
                <w:rtl w:val="0"/>
              </w:rPr>
              <w:t xml:space="preserve">5. FICHA RADAR: EVIDENCIA DEL ATRIBUTO ANTES DE ESCALAR</w:t>
              <w:tab/>
            </w:r>
          </w:hyperlink>
          <w:r w:rsidDel="00000000" w:rsidR="00000000" w:rsidRPr="00000000">
            <w:fldChar w:fldCharType="begin"/>
            <w:instrText xml:space="preserve"> PAGEREF _dfq6dhkuq65q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945.65249705878"/>
            </w:tabs>
            <w:spacing w:after="0" w:before="60" w:line="240" w:lineRule="auto"/>
            <w:ind w:left="360" w:right="0" w:firstLine="0"/>
            <w:jc w:val="left"/>
            <w:rPr>
              <w:color w:val="000000"/>
              <w:u w:val="none"/>
            </w:rPr>
          </w:pPr>
          <w:hyperlink w:anchor="_7t8xlstjyidv">
            <w:r w:rsidDel="00000000" w:rsidR="00000000" w:rsidRPr="00000000">
              <w:rPr>
                <w:color w:val="000000"/>
                <w:u w:val="none"/>
                <w:rtl w:val="0"/>
              </w:rPr>
              <w:t xml:space="preserve">CÁLCULO E INTERPRETACIÓN</w:t>
              <w:tab/>
            </w:r>
          </w:hyperlink>
          <w:r w:rsidDel="00000000" w:rsidR="00000000" w:rsidRPr="00000000">
            <w:fldChar w:fldCharType="begin"/>
            <w:instrText xml:space="preserve"> PAGEREF _7t8xlstjyidv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945.65249705878"/>
            </w:tabs>
            <w:spacing w:after="0" w:before="60" w:line="240" w:lineRule="auto"/>
            <w:ind w:left="0" w:right="0" w:firstLine="0"/>
            <w:jc w:val="left"/>
            <w:rPr>
              <w:b w:val="1"/>
              <w:bCs w:val="1"/>
              <w:color w:val="000000"/>
              <w:u w:val="none"/>
            </w:rPr>
          </w:pPr>
          <w:hyperlink w:anchor="_2xtx1ot5gr5q">
            <w:r w:rsidDel="00000000" w:rsidR="00000000" w:rsidRPr="00000000">
              <w:rPr>
                <w:b w:val="1"/>
                <w:bCs w:val="1"/>
                <w:color w:val="000000"/>
                <w:u w:val="none"/>
                <w:rtl w:val="0"/>
              </w:rPr>
              <w:t xml:space="preserve">6. AV-EXP-01: UN MÓDULO DE EVALUACIÓN DENTRO DEL ECOSISTEMA</w:t>
              <w:tab/>
            </w:r>
          </w:hyperlink>
          <w:r w:rsidDel="00000000" w:rsidR="00000000" w:rsidRPr="00000000">
            <w:fldChar w:fldCharType="begin"/>
            <w:instrText xml:space="preserve"> PAGEREF _2xtx1ot5gr5q \h </w:instrText>
            <w:fldChar w:fldCharType="separate"/>
          </w:r>
          <w:r w:rsidDel="00000000" w:rsidR="00000000" w:rsidRPr="00000000">
            <w:rPr>
              <w:b w:val="1"/>
              <w:bCs w:val="1"/>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945.65249705878"/>
            </w:tabs>
            <w:spacing w:after="0" w:before="60" w:line="240" w:lineRule="auto"/>
            <w:ind w:left="360" w:right="0" w:firstLine="0"/>
            <w:jc w:val="left"/>
            <w:rPr>
              <w:color w:val="000000"/>
              <w:u w:val="none"/>
            </w:rPr>
          </w:pPr>
          <w:hyperlink w:anchor="_mfeb7tey0lc5">
            <w:r w:rsidDel="00000000" w:rsidR="00000000" w:rsidRPr="00000000">
              <w:rPr>
                <w:color w:val="000000"/>
                <w:u w:val="none"/>
                <w:rtl w:val="0"/>
              </w:rPr>
              <w:t xml:space="preserve">ASIGNACIÓN Y ESTIMANDO</w:t>
              <w:tab/>
            </w:r>
          </w:hyperlink>
          <w:r w:rsidDel="00000000" w:rsidR="00000000" w:rsidRPr="00000000">
            <w:fldChar w:fldCharType="begin"/>
            <w:instrText xml:space="preserve"> PAGEREF _mfeb7tey0lc5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945.65249705878"/>
            </w:tabs>
            <w:spacing w:after="0" w:before="60" w:line="240" w:lineRule="auto"/>
            <w:ind w:left="360" w:right="0" w:firstLine="0"/>
            <w:jc w:val="left"/>
            <w:rPr>
              <w:color w:val="000000"/>
              <w:u w:val="none"/>
            </w:rPr>
          </w:pPr>
          <w:hyperlink w:anchor="_nhq6uvbarknn">
            <w:r w:rsidDel="00000000" w:rsidR="00000000" w:rsidRPr="00000000">
              <w:rPr>
                <w:color w:val="000000"/>
                <w:u w:val="none"/>
                <w:rtl w:val="0"/>
              </w:rPr>
              <w:t xml:space="preserve">CONTRIBUCIÓN, INVERSIÓN Y NO INFERIORIDAD</w:t>
              <w:tab/>
            </w:r>
          </w:hyperlink>
          <w:r w:rsidDel="00000000" w:rsidR="00000000" w:rsidRPr="00000000">
            <w:fldChar w:fldCharType="begin"/>
            <w:instrText xml:space="preserve"> PAGEREF _nhq6uvbarknn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945.65249705878"/>
            </w:tabs>
            <w:spacing w:after="0" w:before="60" w:line="240" w:lineRule="auto"/>
            <w:ind w:left="360" w:right="0" w:firstLine="0"/>
            <w:jc w:val="left"/>
            <w:rPr>
              <w:color w:val="000000"/>
              <w:u w:val="none"/>
            </w:rPr>
          </w:pPr>
          <w:hyperlink w:anchor="_7j7ueajf20n3">
            <w:r w:rsidDel="00000000" w:rsidR="00000000" w:rsidRPr="00000000">
              <w:rPr>
                <w:color w:val="000000"/>
                <w:u w:val="none"/>
                <w:rtl w:val="0"/>
              </w:rPr>
              <w:t xml:space="preserve">PLANIFICACIÓN MUESTRAL, NO TAMAÑO DEFINITIVO</w:t>
              <w:tab/>
            </w:r>
          </w:hyperlink>
          <w:r w:rsidDel="00000000" w:rsidR="00000000" w:rsidRPr="00000000">
            <w:fldChar w:fldCharType="begin"/>
            <w:instrText xml:space="preserve"> PAGEREF _7j7ueajf20n3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945.65249705878"/>
            </w:tabs>
            <w:spacing w:after="0" w:before="60" w:line="240" w:lineRule="auto"/>
            <w:ind w:left="0" w:right="0" w:firstLine="0"/>
            <w:jc w:val="left"/>
            <w:rPr>
              <w:b w:val="1"/>
              <w:bCs w:val="1"/>
              <w:color w:val="000000"/>
              <w:u w:val="none"/>
            </w:rPr>
          </w:pPr>
          <w:hyperlink w:anchor="_m14w5hygeskm">
            <w:r w:rsidDel="00000000" w:rsidR="00000000" w:rsidRPr="00000000">
              <w:rPr>
                <w:b w:val="1"/>
                <w:bCs w:val="1"/>
                <w:color w:val="000000"/>
                <w:u w:val="none"/>
                <w:rtl w:val="0"/>
              </w:rPr>
              <w:t xml:space="preserve">7. DE LA SEÑAL A LA MEDICIÓN Y DE VUELTA AL RADAR</w:t>
              <w:tab/>
            </w:r>
          </w:hyperlink>
          <w:r w:rsidDel="00000000" w:rsidR="00000000" w:rsidRPr="00000000">
            <w:fldChar w:fldCharType="begin"/>
            <w:instrText xml:space="preserve"> PAGEREF _m14w5hygeskm \h </w:instrText>
            <w:fldChar w:fldCharType="separate"/>
          </w:r>
          <w:r w:rsidDel="00000000" w:rsidR="00000000" w:rsidRPr="00000000">
            <w:rPr>
              <w:b w:val="1"/>
              <w:bCs w:val="1"/>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945.65249705878"/>
            </w:tabs>
            <w:spacing w:after="0" w:before="60" w:line="240" w:lineRule="auto"/>
            <w:ind w:left="0" w:right="0" w:firstLine="0"/>
            <w:jc w:val="left"/>
            <w:rPr>
              <w:b w:val="1"/>
              <w:bCs w:val="1"/>
              <w:color w:val="000000"/>
              <w:u w:val="none"/>
            </w:rPr>
          </w:pPr>
          <w:hyperlink w:anchor="_lpkss9svrr48">
            <w:r w:rsidDel="00000000" w:rsidR="00000000" w:rsidRPr="00000000">
              <w:rPr>
                <w:b w:val="1"/>
                <w:bCs w:val="1"/>
                <w:color w:val="000000"/>
                <w:u w:val="none"/>
                <w:rtl w:val="0"/>
              </w:rPr>
              <w:t xml:space="preserve">8. GOBERNANZA DE ALEGACIONES, DECISIÓN Y LÍMITES</w:t>
              <w:tab/>
            </w:r>
          </w:hyperlink>
          <w:r w:rsidDel="00000000" w:rsidR="00000000" w:rsidRPr="00000000">
            <w:fldChar w:fldCharType="begin"/>
            <w:instrText xml:space="preserve"> PAGEREF _lpkss9svrr48 \h </w:instrText>
            <w:fldChar w:fldCharType="separate"/>
          </w:r>
          <w:r w:rsidDel="00000000" w:rsidR="00000000" w:rsidRPr="00000000">
            <w:rPr>
              <w:b w:val="1"/>
              <w:bCs w:val="1"/>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945.65249705878"/>
            </w:tabs>
            <w:spacing w:after="0" w:before="60" w:line="240" w:lineRule="auto"/>
            <w:ind w:left="0" w:right="0" w:firstLine="0"/>
            <w:jc w:val="left"/>
            <w:rPr>
              <w:b w:val="1"/>
              <w:bCs w:val="1"/>
              <w:color w:val="000000"/>
              <w:u w:val="none"/>
            </w:rPr>
          </w:pPr>
          <w:hyperlink w:anchor="_soessgonrtb4">
            <w:r w:rsidDel="00000000" w:rsidR="00000000" w:rsidRPr="00000000">
              <w:rPr>
                <w:b w:val="1"/>
                <w:bCs w:val="1"/>
                <w:color w:val="000000"/>
                <w:u w:val="none"/>
                <w:rtl w:val="0"/>
              </w:rPr>
              <w:t xml:space="preserve">CONCLUSIÓN</w:t>
              <w:tab/>
            </w:r>
          </w:hyperlink>
          <w:r w:rsidDel="00000000" w:rsidR="00000000" w:rsidRPr="00000000">
            <w:fldChar w:fldCharType="begin"/>
            <w:instrText xml:space="preserve"> PAGEREF _soessgonrtb4 \h </w:instrText>
            <w:fldChar w:fldCharType="separate"/>
          </w:r>
          <w:r w:rsidDel="00000000" w:rsidR="00000000" w:rsidRPr="00000000">
            <w:rPr>
              <w:b w:val="1"/>
              <w:bCs w:val="1"/>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945.65249705878"/>
            </w:tabs>
            <w:spacing w:after="0" w:before="60" w:line="240" w:lineRule="auto"/>
            <w:ind w:left="0" w:right="0" w:firstLine="0"/>
            <w:jc w:val="left"/>
            <w:rPr>
              <w:b w:val="1"/>
              <w:bCs w:val="1"/>
              <w:color w:val="000000"/>
              <w:u w:val="none"/>
            </w:rPr>
          </w:pPr>
          <w:hyperlink w:anchor="_7rmculr6ufiw">
            <w:r w:rsidDel="00000000" w:rsidR="00000000" w:rsidRPr="00000000">
              <w:rPr>
                <w:b w:val="1"/>
                <w:bCs w:val="1"/>
                <w:color w:val="000000"/>
                <w:u w:val="none"/>
                <w:rtl w:val="0"/>
              </w:rPr>
              <w:t xml:space="preserve">DECLARACIONES EDITORIALES</w:t>
              <w:tab/>
            </w:r>
          </w:hyperlink>
          <w:r w:rsidDel="00000000" w:rsidR="00000000" w:rsidRPr="00000000">
            <w:fldChar w:fldCharType="begin"/>
            <w:instrText xml:space="preserve"> PAGEREF _7rmculr6ufiw \h </w:instrText>
            <w:fldChar w:fldCharType="separate"/>
          </w:r>
          <w:r w:rsidDel="00000000" w:rsidR="00000000" w:rsidRPr="00000000">
            <w:rPr>
              <w:b w:val="1"/>
              <w:bCs w:val="1"/>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945.65249705878"/>
            </w:tabs>
            <w:spacing w:after="0" w:before="60" w:line="240" w:lineRule="auto"/>
            <w:ind w:left="0" w:right="0" w:firstLine="0"/>
            <w:jc w:val="left"/>
            <w:rPr>
              <w:b w:val="1"/>
              <w:bCs w:val="1"/>
              <w:color w:val="000000"/>
              <w:u w:val="none"/>
            </w:rPr>
          </w:pPr>
          <w:hyperlink w:anchor="_fikf7g1lkvc9">
            <w:r w:rsidDel="00000000" w:rsidR="00000000" w:rsidRPr="00000000">
              <w:rPr>
                <w:b w:val="1"/>
                <w:bCs w:val="1"/>
                <w:color w:val="000000"/>
                <w:u w:val="none"/>
                <w:rtl w:val="0"/>
              </w:rPr>
              <w:t xml:space="preserve">Referencias y trazabilidad</w:t>
              <w:tab/>
            </w:r>
          </w:hyperlink>
          <w:r w:rsidDel="00000000" w:rsidR="00000000" w:rsidRPr="00000000">
            <w:fldChar w:fldCharType="begin"/>
            <w:instrText xml:space="preserve"> PAGEREF _fikf7g1lkvc9 \h </w:instrText>
            <w:fldChar w:fldCharType="separate"/>
          </w:r>
          <w:r w:rsidDel="00000000" w:rsidR="00000000" w:rsidRPr="00000000">
            <w:rPr>
              <w:b w:val="1"/>
              <w:bCs w:val="1"/>
              <w:color w:val="000000"/>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widowControl w:val="0"/>
        <w:spacing w:after="200" w:before="600" w:line="268.8" w:lineRule="auto"/>
        <w:ind w:left="5.138092041015625" w:right="8.93310546875" w:firstLine="21.838531494140625"/>
        <w:jc w:val="both"/>
        <w:rPr/>
      </w:pPr>
      <w:bookmarkStart w:colFirst="0" w:colLast="0" w:name="_7eszk5lnsquk" w:id="3"/>
      <w:bookmarkEnd w:id="3"/>
      <w:r w:rsidDel="00000000" w:rsidR="00000000" w:rsidRPr="00000000">
        <w:rPr>
          <w:rtl w:val="0"/>
        </w:rPr>
        <w:t xml:space="preserve">1. PROPÓSITO: INTELIGENCIA QUE SE TRADUCE EN DECISIONES</w:t>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68.45510482788086" w:lineRule="auto"/>
        <w:ind w:left="5.138092041015625" w:right="8.93310546875" w:firstLine="21.838531494140625"/>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Una señal ESG no es todavía una decisión. Una cifra publicada, un cambio normativo o un patrón de compra deben convertirse en una pregunta de negocio: qué exposición existe, qué impacto importa, quién debe actuar y qué evidencia permitiría decidir entre invertir, modificar o detener una iniciativa.</w:t>
      </w:r>
    </w:p>
    <w:p w:rsidR="00000000" w:rsidDel="00000000" w:rsidP="00000000" w:rsidRDefault="00000000" w:rsidRPr="00000000" w14:paraId="0000002E">
      <w:pPr>
        <w:keepNext w:val="1"/>
        <w:keepLines w:val="1"/>
        <w:rPr/>
      </w:pPr>
      <w:r w:rsidDel="00000000" w:rsidR="00000000" w:rsidRPr="00000000">
        <w:rPr>
          <w:rtl w:val="0"/>
        </w:rPr>
        <w:t xml:space="preserve">ESG Trends Radar cumple en este marco una función de inteligencia y priorización. La Arquitectura de Valor organiza su traducción a capacidades corporativas. El protocolo AV-EXP-01 define una evaluación posible de un caso, sin confundir el rendimiento de ese caso con el de toda la herramienta.</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68.45510482788086" w:lineRule="auto"/>
        <w:ind w:left="5.138092041015625" w:right="8.93310546875" w:firstLine="21.838531494140625"/>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La pregunta de investigación es: ¿cómo organizar la evidencia y el diseño de evaluación para conectar señales ESG con cambios operativos, comunicación responsable y resultados económicos, ambientales y sociales observables?</w:t>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68.45510482788086" w:lineRule="auto"/>
        <w:ind w:left="5.138092041015625" w:right="8.93310546875" w:firstLine="21.838531494140625"/>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El ámbito inicial es consumo masivo con productos envasados en Chile. La aplicación latinoamericana es una proyección metodológica condicionada: requiere estudiar jurisdicción, cadena, producto, acceso e infraestructura. No se trasladan automáticamente a la región los resultados de un mercado estadounidense ni las obligaciones de otra jurisdicción.</w:t>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68.45510482788086" w:lineRule="auto"/>
        <w:ind w:left="5.138092041015625" w:right="8.93310546875" w:firstLine="21.838531494140625"/>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Este trabajo no describe una plataforma informática ya auditada, automatización validada o un servicio que garantice retornos. Define una arquitectura metodológica de inteligencia, decisiones y evaluación. No se atribuye un aval de SERNAC, CMF, EFRAG, NYU ni las empresas citadas.</w:t>
      </w:r>
    </w:p>
    <w:p w:rsidR="00000000" w:rsidDel="00000000" w:rsidP="00000000" w:rsidRDefault="00000000" w:rsidRPr="00000000" w14:paraId="00000032">
      <w:pPr>
        <w:pStyle w:val="Heading1"/>
        <w:widowControl w:val="0"/>
        <w:spacing w:after="200" w:before="600" w:line="268.8" w:lineRule="auto"/>
        <w:ind w:left="5.138092041015625" w:right="8.93310546875" w:firstLine="21.838531494140625"/>
        <w:jc w:val="both"/>
        <w:rPr>
          <w:rFonts w:ascii="Roboto" w:cs="Roboto" w:eastAsia="Roboto" w:hAnsi="Roboto"/>
          <w:b w:val="1"/>
          <w:bCs w:val="1"/>
          <w:color w:val="0a365c"/>
          <w:sz w:val="24"/>
          <w:szCs w:val="24"/>
        </w:rPr>
      </w:pPr>
      <w:bookmarkStart w:colFirst="0" w:colLast="0" w:name="_7osktxowajtp" w:id="4"/>
      <w:bookmarkEnd w:id="4"/>
      <w:r w:rsidDel="00000000" w:rsidR="00000000" w:rsidRPr="00000000">
        <w:rPr>
          <w:rFonts w:ascii="Roboto" w:cs="Roboto" w:eastAsia="Roboto" w:hAnsi="Roboto"/>
          <w:b w:val="1"/>
          <w:bCs w:val="1"/>
          <w:color w:val="0a365c"/>
          <w:sz w:val="24"/>
          <w:szCs w:val="24"/>
          <w:rtl w:val="0"/>
        </w:rPr>
        <w:t xml:space="preserve">2. MODELO INTEGRADO: RADAR, ARQUITECTURA DE VALOR Y EVALUACIÓN </w:t>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18.620986938476562" w:right="11.353759765625" w:firstLine="8.355636596679688"/>
        <w:jc w:val="both"/>
        <w:rPr>
          <w:b w:val="1"/>
          <w:bCs w:val="1"/>
          <w:color w:val="444444"/>
          <w:sz w:val="20"/>
          <w:szCs w:val="20"/>
        </w:rPr>
      </w:pPr>
      <w:r w:rsidDel="00000000" w:rsidR="00000000" w:rsidRPr="00000000">
        <w:rPr>
          <w:rFonts w:ascii="Roboto" w:cs="Roboto" w:eastAsia="Roboto" w:hAnsi="Roboto"/>
          <w:color w:val="444444"/>
          <w:sz w:val="20"/>
          <w:szCs w:val="20"/>
          <w:rtl w:val="0"/>
        </w:rPr>
        <w:t xml:space="preserve">La secuencia de trabajo parte de los resultados TBL que se quiere evaluar —económicos, ambientales y sociales— y de la doble materialidad: impactos en personas y ambiente, junto con riesgos y oportunidades financieros. La referencia EFRAG IG 1 es conceptual y no autoritativa, relativa a ESRS 2023; no crea obligaciones para Chile.</w:t>
      </w:r>
      <w:r w:rsidDel="00000000" w:rsidR="00000000" w:rsidRPr="00000000">
        <w:rPr>
          <w:b w:val="1"/>
          <w:bCs w:val="1"/>
          <w:color w:val="444444"/>
          <w:sz w:val="20"/>
          <w:szCs w:val="20"/>
          <w:rtl w:val="0"/>
        </w:rPr>
        <w:t xml:space="preserve"> [R4] </w:t>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18.620986938476562" w:right="11.353759765625" w:firstLine="8.355636596679688"/>
        <w:jc w:val="both"/>
        <w:rPr/>
      </w:pPr>
      <w:r w:rsidDel="00000000" w:rsidR="00000000" w:rsidRPr="00000000">
        <w:rPr>
          <w:rFonts w:ascii="Roboto" w:cs="Roboto" w:eastAsia="Roboto" w:hAnsi="Roboto"/>
          <w:color w:val="444444"/>
          <w:sz w:val="20"/>
          <w:szCs w:val="20"/>
          <w:rtl w:val="0"/>
        </w:rPr>
        <w:t xml:space="preserve">El Radar alimenta esa priorización con señales y evidencia; no sustituye la evaluación de materialidad de cada organización. La aplicación de las tres capacidades convierte la prioridad en un plan con costos, responsables y métricas. </w:t>
      </w: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color="auto" w:space="6" w:sz="0" w:val="none"/>
          <w:left w:color="auto" w:space="6" w:sz="0" w:val="none"/>
          <w:bottom w:color="auto" w:space="6" w:sz="0" w:val="none"/>
          <w:right w:color="auto" w:space="6" w:sz="0" w:val="none"/>
          <w:between w:space="0" w:sz="0" w:val="nil"/>
        </w:pBdr>
        <w:shd w:fill="cfe2f3" w:val="clear"/>
        <w:spacing w:after="200" w:before="190.87158203125" w:line="276.3508415222168" w:lineRule="auto"/>
        <w:ind w:left="18.620986938476562" w:right="11.353759765625" w:firstLine="8.355636596679688"/>
        <w:jc w:val="both"/>
        <w:rPr/>
      </w:pPr>
      <w:r w:rsidDel="00000000" w:rsidR="00000000" w:rsidRPr="00000000">
        <w:rPr>
          <w:rFonts w:ascii="Roboto" w:cs="Roboto" w:eastAsia="Roboto" w:hAnsi="Roboto"/>
          <w:b w:val="1"/>
          <w:bCs w:val="1"/>
          <w:i w:val="1"/>
          <w:iCs w:val="1"/>
          <w:color w:val="444444"/>
          <w:sz w:val="20"/>
          <w:szCs w:val="20"/>
          <w:rtl w:val="0"/>
        </w:rPr>
        <w:t xml:space="preserve">Flujo propuesto:</w:t>
      </w:r>
      <w:r w:rsidDel="00000000" w:rsidR="00000000" w:rsidRPr="00000000">
        <w:rPr>
          <w:rFonts w:ascii="Nova Mono" w:cs="Nova Mono" w:eastAsia="Nova Mono" w:hAnsi="Nova Mono"/>
          <w:i w:val="1"/>
          <w:iCs w:val="1"/>
          <w:color w:val="444444"/>
          <w:sz w:val="20"/>
          <w:szCs w:val="20"/>
          <w:rtl w:val="0"/>
        </w:rPr>
        <w:t xml:space="preserve"> resultados TBL → señales ESG y validación documental → prioridad Radar y doble materialidad → Arquitectura de Valor → operación circular → evidencia del atributo → revisión técnico-legal → comunicación → resultados observables → retroalimentación al Radar y a la estrategia. </w:t>
      </w:r>
      <w:r w:rsidDel="00000000" w:rsidR="00000000" w:rsidRPr="00000000">
        <w:rPr>
          <w:rtl w:val="0"/>
        </w:rPr>
      </w:r>
    </w:p>
    <w:tbl>
      <w:tblPr>
        <w:tblStyle w:val="Table1"/>
        <w:tblW w:w="9930.253845214844" w:type="dxa"/>
        <w:jc w:val="left"/>
        <w:tblInd w:w="10.746154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2.563461303711"/>
        <w:gridCol w:w="2482.563461303711"/>
        <w:gridCol w:w="2482.563461303711"/>
        <w:gridCol w:w="2482.563461303711"/>
        <w:tblGridChange w:id="0">
          <w:tblGrid>
            <w:gridCol w:w="2482.563461303711"/>
            <w:gridCol w:w="2482.563461303711"/>
            <w:gridCol w:w="2482.563461303711"/>
            <w:gridCol w:w="2482.563461303711"/>
          </w:tblGrid>
        </w:tblGridChange>
      </w:tblGrid>
      <w:tr>
        <w:trPr>
          <w:cantSplit w:val="1"/>
          <w:trHeight w:val="420" w:hRule="atLeast"/>
          <w:tblHeader w:val="1"/>
        </w:trPr>
        <w:tc>
          <w:tcPr>
            <w:shd w:fill="1a4a75"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i w:val="0"/>
                <w:iCs w:val="0"/>
                <w:smallCaps w:val="0"/>
                <w:strike w:val="0"/>
                <w:color w:val="ffffff"/>
                <w:sz w:val="18"/>
                <w:szCs w:val="18"/>
                <w:u w:val="none"/>
                <w:shd w:fill="auto" w:val="clear"/>
                <w:vertAlign w:val="baseline"/>
              </w:rPr>
            </w:pPr>
            <w:r w:rsidDel="00000000" w:rsidR="00000000" w:rsidRPr="00000000">
              <w:rPr>
                <w:rFonts w:ascii="Roboto" w:cs="Roboto" w:eastAsia="Roboto" w:hAnsi="Roboto"/>
                <w:i w:val="0"/>
                <w:iCs w:val="0"/>
                <w:smallCaps w:val="0"/>
                <w:strike w:val="0"/>
                <w:color w:val="ffffff"/>
                <w:sz w:val="18"/>
                <w:szCs w:val="18"/>
                <w:u w:val="none"/>
                <w:shd w:fill="auto" w:val="clear"/>
                <w:vertAlign w:val="baseline"/>
                <w:rtl w:val="0"/>
              </w:rPr>
              <w:t xml:space="preserve">COMPONENTE </w:t>
            </w:r>
          </w:p>
        </w:tc>
        <w:tc>
          <w:tcPr>
            <w:shd w:fill="1a4a75"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i w:val="0"/>
                <w:iCs w:val="0"/>
                <w:smallCaps w:val="0"/>
                <w:strike w:val="0"/>
                <w:color w:val="ffffff"/>
                <w:sz w:val="18"/>
                <w:szCs w:val="18"/>
                <w:u w:val="none"/>
                <w:shd w:fill="auto" w:val="clear"/>
                <w:vertAlign w:val="baseline"/>
              </w:rPr>
            </w:pPr>
            <w:r w:rsidDel="00000000" w:rsidR="00000000" w:rsidRPr="00000000">
              <w:rPr>
                <w:rFonts w:ascii="Roboto" w:cs="Roboto" w:eastAsia="Roboto" w:hAnsi="Roboto"/>
                <w:i w:val="0"/>
                <w:iCs w:val="0"/>
                <w:smallCaps w:val="0"/>
                <w:strike w:val="0"/>
                <w:color w:val="ffffff"/>
                <w:sz w:val="18"/>
                <w:szCs w:val="18"/>
                <w:u w:val="none"/>
                <w:shd w:fill="auto" w:val="clear"/>
                <w:vertAlign w:val="baseline"/>
                <w:rtl w:val="0"/>
              </w:rPr>
              <w:t xml:space="preserve">PREGUNTA </w:t>
            </w:r>
          </w:p>
        </w:tc>
        <w:tc>
          <w:tcPr>
            <w:shd w:fill="1a4a75"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i w:val="0"/>
                <w:iCs w:val="0"/>
                <w:smallCaps w:val="0"/>
                <w:strike w:val="0"/>
                <w:color w:val="ffffff"/>
                <w:sz w:val="18"/>
                <w:szCs w:val="18"/>
                <w:u w:val="none"/>
                <w:shd w:fill="auto" w:val="clear"/>
                <w:vertAlign w:val="baseline"/>
              </w:rPr>
            </w:pPr>
            <w:r w:rsidDel="00000000" w:rsidR="00000000" w:rsidRPr="00000000">
              <w:rPr>
                <w:rFonts w:ascii="Roboto" w:cs="Roboto" w:eastAsia="Roboto" w:hAnsi="Roboto"/>
                <w:i w:val="0"/>
                <w:iCs w:val="0"/>
                <w:smallCaps w:val="0"/>
                <w:strike w:val="0"/>
                <w:color w:val="ffffff"/>
                <w:sz w:val="18"/>
                <w:szCs w:val="18"/>
                <w:u w:val="none"/>
                <w:shd w:fill="auto" w:val="clear"/>
                <w:vertAlign w:val="baseline"/>
                <w:rtl w:val="0"/>
              </w:rPr>
              <w:t xml:space="preserve">ENTREGABLE </w:t>
            </w:r>
          </w:p>
        </w:tc>
        <w:tc>
          <w:tcPr>
            <w:shd w:fill="1a4a75"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i w:val="0"/>
                <w:iCs w:val="0"/>
                <w:smallCaps w:val="0"/>
                <w:strike w:val="0"/>
                <w:color w:val="ffffff"/>
                <w:sz w:val="18"/>
                <w:szCs w:val="18"/>
                <w:u w:val="none"/>
                <w:shd w:fill="auto" w:val="clear"/>
                <w:vertAlign w:val="baseline"/>
              </w:rPr>
            </w:pPr>
            <w:r w:rsidDel="00000000" w:rsidR="00000000" w:rsidRPr="00000000">
              <w:rPr>
                <w:rFonts w:ascii="Roboto" w:cs="Roboto" w:eastAsia="Roboto" w:hAnsi="Roboto"/>
                <w:i w:val="0"/>
                <w:iCs w:val="0"/>
                <w:smallCaps w:val="0"/>
                <w:strike w:val="0"/>
                <w:color w:val="ffffff"/>
                <w:sz w:val="18"/>
                <w:szCs w:val="18"/>
                <w:u w:val="none"/>
                <w:shd w:fill="auto" w:val="clear"/>
                <w:vertAlign w:val="baseline"/>
                <w:rtl w:val="0"/>
              </w:rPr>
              <w:t xml:space="preserve">LÍMITE</w:t>
            </w:r>
          </w:p>
        </w:tc>
      </w:tr>
      <w:tr>
        <w:trPr>
          <w:cantSplit w:val="1"/>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ESG Trends Radar</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¿Qué ocurre, por qué importa y qué decisión merece anticiparse?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Ficha de señal, estado de evidencia, índice editorial y vigilancia.</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No certifica cumplimiento ni demuestra retorno.</w:t>
            </w:r>
          </w:p>
        </w:tc>
      </w:tr>
      <w:tr>
        <w:trPr>
          <w:cantSplit w:val="1"/>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Cabeza Fría</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¿Qué costo, riesgo y retorno se evalúan?</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Economía unitaria, inversión, suministro y escenarios.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No presupone que PCR o un claim se autofinancian.</w:t>
            </w:r>
          </w:p>
        </w:tc>
      </w:tr>
      <w:tr>
        <w:trPr>
          <w:cantSplit w:val="1"/>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Corazón Activo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¿Qué utilidad entrega y quién puede acceder?</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Función, asequibilidad,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accesibilidad y comprensión.</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Confianza o precio no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prueban impacto social total.</w:t>
            </w:r>
          </w:p>
        </w:tc>
      </w:tr>
      <w:tr>
        <w:trPr>
          <w:cantSplit w:val="1"/>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Manos Firmes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¿Quién ejecuta y qué evidencia conserva?</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Lotes, controles,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responsables e incentivos.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Tener documentos no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demuestra causalidad.</w:t>
            </w:r>
          </w:p>
        </w:tc>
      </w:tr>
      <w:tr>
        <w:trPr>
          <w:cantSplit w:val="1"/>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AV-EXP-01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¿Qué cambia en un caso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delimitado?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sz w:val="18"/>
                <w:szCs w:val="18"/>
                <w:rtl w:val="0"/>
              </w:rPr>
              <w:t xml:space="preserve">Tratamientos, estimandos, medición y análisis.</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No válida por sí solo todo el ecosistema.</w:t>
            </w:r>
          </w:p>
        </w:tc>
      </w:tr>
    </w:tbl>
    <w:p w:rsidR="00000000" w:rsidDel="00000000" w:rsidP="00000000" w:rsidRDefault="00000000" w:rsidRPr="00000000" w14:paraId="00000053">
      <w:pPr>
        <w:keepNext w:val="1"/>
        <w:keepLines w:val="1"/>
        <w:spacing w:before="600" w:line="276" w:lineRule="auto"/>
        <w:ind w:left="0" w:right="11.353759765625" w:firstLine="0"/>
        <w:rPr/>
        <w:sectPr>
          <w:headerReference r:id="rId10" w:type="default"/>
          <w:footerReference r:id="rId11" w:type="default"/>
          <w:pgSz w:h="16840" w:w="11900" w:orient="portrait"/>
          <w:pgMar w:bottom="762.59765625" w:top="1020" w:left="1009.2538452148438" w:right="950.60546875" w:header="0" w:footer="720"/>
          <w:pgNumType w:start="1"/>
        </w:sectPr>
      </w:pPr>
      <w:r w:rsidDel="00000000" w:rsidR="00000000" w:rsidRPr="00000000">
        <w:rPr>
          <w:rtl w:val="0"/>
        </w:rPr>
        <w:t xml:space="preserve">Las flechas representan procesos propuestos. Una mejora de compra no acredita menor impacto ambiental; una encuesta de confianza no demuestra condiciones laborales; contenido reciclado no equivale a reciclabilidad ni a recuperación efectiva. La operación circular puede incluir prevención, duración, reparación y reutilización, no únicamente reciclaje</w:t>
      </w:r>
      <w:r w:rsidDel="00000000" w:rsidR="00000000" w:rsidRPr="00000000">
        <w:rPr>
          <w:rtl w:val="0"/>
        </w:rPr>
      </w:r>
    </w:p>
    <w:p w:rsidR="00000000" w:rsidDel="00000000" w:rsidP="00000000" w:rsidRDefault="00000000" w:rsidRPr="00000000" w14:paraId="00000054">
      <w:pPr>
        <w:pStyle w:val="Heading1"/>
        <w:widowControl w:val="0"/>
        <w:spacing w:before="600" w:line="240" w:lineRule="auto"/>
        <w:ind w:left="0" w:firstLine="0"/>
        <w:rPr>
          <w:rFonts w:ascii="Roboto" w:cs="Roboto" w:eastAsia="Roboto" w:hAnsi="Roboto"/>
          <w:color w:val="0a365c"/>
          <w:sz w:val="25.994998931884766"/>
          <w:szCs w:val="25.994998931884766"/>
        </w:rPr>
      </w:pPr>
      <w:bookmarkStart w:colFirst="0" w:colLast="0" w:name="_5m7gmak4o7w8" w:id="5"/>
      <w:bookmarkEnd w:id="5"/>
      <w:r w:rsidDel="00000000" w:rsidR="00000000" w:rsidRPr="00000000">
        <w:rPr>
          <w:rFonts w:ascii="Roboto" w:cs="Roboto" w:eastAsia="Roboto" w:hAnsi="Roboto"/>
          <w:b w:val="1"/>
          <w:bCs w:val="1"/>
          <w:color w:val="0a365c"/>
          <w:sz w:val="24"/>
          <w:szCs w:val="24"/>
          <w:rtl w:val="0"/>
        </w:rPr>
        <w:t xml:space="preserve">3. CÓMO FUNCIONA LA CURACIÓN DE SEÑALES DEL ESG TRENDS RADAR </w:t>
      </w:r>
      <w:r w:rsidDel="00000000" w:rsidR="00000000" w:rsidRPr="00000000">
        <w:rPr>
          <w:rtl w:val="0"/>
        </w:rPr>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0" w:right="11.353759765625" w:firstLine="0"/>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El ciclo metodológico propuesto comprende seis operaciones: identificar la señal; recuperar la fuente; verificar unidad, periodo, alcance y método; determinar exposición empresarial; priorizar con una ficha transparente; y actualizar la decisión ante nueva evidencia.</w:t>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0" w:right="11.353759765625" w:firstLine="0"/>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El registro debe distinguir hecho documentado, estimación, encuesta, escenario, meta y opinión editorial. Una señal es un indicio que merece examen; una tendencia exige persistencia y comparabilidad, además de contraste suficiente. Una alerta requiere una consecuencia y ventana de decisión identificables, no solo un título llamativo. Varias páginas que reproducen el mismo informe no son fuentes independientes.</w:t>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0" w:right="11.353759765625" w:firstLine="0"/>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Cada ficha debe indicar qué está ocurriendo, por qué importa, quién está expuesto, qué hacer y qué podría cambiar la evaluación. Cuando falta evidencia suficiente, el estado correcto es señal en vigilancia o hipótesis de gestión, no tendencia confirmada. El índice no debe ocultar esa clasificación.</w:t>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0" w:right="11.353759765625" w:firstLine="0"/>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En la traducción corporativa, Finanzas comprueba costos; Operaciones y Calidad, desempeño y seguridad; Compras, proveedores y lotes; Legal, alcance de mensajes y sellos; Comercial, oferta y canal; Datos, asignación y medición. Deben definirse personas responsables antes del piloto, sin afirmar que ya existe ese equipo.</w:t>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0" w:right="11.353759765625" w:firstLine="0"/>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Los resultados vuelven al Radar: si un supuesto no se confirma, el expediente registra la discrepancia y revisa prioridad y decisión. Este retorno es un procedimiento de aprendizaje propuesto; no una capacidad de actualización automática cuya operación haya sido probada.</w:t>
      </w:r>
      <w:r w:rsidDel="00000000" w:rsidR="00000000" w:rsidRPr="00000000">
        <w:rPr>
          <w:rtl w:val="0"/>
        </w:rPr>
      </w:r>
    </w:p>
    <w:p w:rsidR="00000000" w:rsidDel="00000000" w:rsidP="00000000" w:rsidRDefault="00000000" w:rsidRPr="00000000" w14:paraId="0000005A">
      <w:pPr>
        <w:pStyle w:val="Heading1"/>
        <w:widowControl w:val="0"/>
        <w:spacing w:before="600" w:line="240" w:lineRule="auto"/>
        <w:ind w:left="19.27337646484375" w:firstLine="0"/>
        <w:rPr>
          <w:rFonts w:ascii="Roboto" w:cs="Roboto" w:eastAsia="Roboto" w:hAnsi="Roboto"/>
          <w:b w:val="1"/>
          <w:bCs w:val="1"/>
          <w:color w:val="0a365c"/>
          <w:sz w:val="24"/>
          <w:szCs w:val="24"/>
        </w:rPr>
      </w:pPr>
      <w:bookmarkStart w:colFirst="0" w:colLast="0" w:name="_48bj98p57xwo" w:id="6"/>
      <w:bookmarkEnd w:id="6"/>
      <w:r w:rsidDel="00000000" w:rsidR="00000000" w:rsidRPr="00000000">
        <w:rPr>
          <w:rFonts w:ascii="Roboto" w:cs="Roboto" w:eastAsia="Roboto" w:hAnsi="Roboto"/>
          <w:b w:val="1"/>
          <w:bCs w:val="1"/>
          <w:color w:val="0a365c"/>
          <w:sz w:val="24"/>
          <w:szCs w:val="24"/>
          <w:rtl w:val="0"/>
        </w:rPr>
        <w:t xml:space="preserve">4. BASE DOCUMENTAL: 18 REGISTROS, CUATRO FUNCIONES DE EVIDENCIA </w:t>
      </w:r>
    </w:p>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0" w:right="11.353759765625" w:firstLine="0"/>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Se conserva el conjunto de extracción secundaria del proyecto: cuatro registros de Unilever, cinco de Natura &amp; Co, cinco de SERNAC y cuatro de NYU. Son cifras publicadas, no 18 investigaciones independientes ni microdatos para inferencia. La revisión es focalizada, no un metaanálisis. Las consultas primarias corresponden al cierre del 27 de octubre de 2026; la integración editorial con el Radar se actualiza el 28 de octubre de 2026, sin atribuir una nueva consulta a todas las fuentes.</w:t>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0" w:right="11.353759765625" w:firstLine="0"/>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Alta trazabilidad del documento no equivale a alta validez causal. Los datos se usan para definir preguntas y límites del Radar, no para demostrar la eficacia del modelo. </w:t>
      </w:r>
    </w:p>
    <w:p w:rsidR="00000000" w:rsidDel="00000000" w:rsidP="00000000" w:rsidRDefault="00000000" w:rsidRPr="00000000" w14:paraId="0000005D">
      <w:pPr>
        <w:pStyle w:val="Heading2"/>
        <w:widowControl w:val="0"/>
        <w:spacing w:before="600" w:lineRule="auto"/>
        <w:ind w:left="19.27337646484375" w:firstLine="0"/>
        <w:rPr/>
      </w:pPr>
      <w:bookmarkStart w:colFirst="0" w:colLast="0" w:name="_w80tnc2yhkok" w:id="7"/>
      <w:bookmarkEnd w:id="7"/>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widowControl w:val="0"/>
        <w:spacing w:before="600" w:lineRule="auto"/>
        <w:ind w:left="19.27337646484375" w:firstLine="0"/>
        <w:rPr/>
      </w:pPr>
      <w:bookmarkStart w:colFirst="0" w:colLast="0" w:name="_ytmxhykapar0" w:id="8"/>
      <w:bookmarkEnd w:id="8"/>
      <w:r w:rsidDel="00000000" w:rsidR="00000000" w:rsidRPr="00000000">
        <w:rPr>
          <w:rtl w:val="0"/>
        </w:rPr>
        <w:t xml:space="preserve">4.1 UNILEVER: ESCALA REPORTADA DE MATERIALES </w:t>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0" w:right="11.353759765625" w:firstLine="0"/>
        <w:jc w:val="both"/>
        <w:rPr>
          <w:b w:val="1"/>
          <w:bCs w:val="1"/>
          <w:color w:val="444444"/>
          <w:sz w:val="20"/>
          <w:szCs w:val="20"/>
        </w:rPr>
      </w:pPr>
      <w:r w:rsidDel="00000000" w:rsidR="00000000" w:rsidRPr="00000000">
        <w:rPr>
          <w:rFonts w:ascii="Roboto" w:cs="Roboto" w:eastAsia="Roboto" w:hAnsi="Roboto"/>
          <w:color w:val="444444"/>
          <w:sz w:val="20"/>
          <w:szCs w:val="20"/>
          <w:rtl w:val="0"/>
        </w:rPr>
        <w:t xml:space="preserve">La hoja Waste-free world contiene los siguientes registros. Los cierres</w:t>
      </w:r>
      <w:r w:rsidDel="00000000" w:rsidR="00000000" w:rsidRPr="00000000">
        <w:rPr>
          <w:rFonts w:ascii="Roboto" w:cs="Roboto" w:eastAsia="Roboto" w:hAnsi="Roboto"/>
          <w:color w:val="444444"/>
          <w:sz w:val="20"/>
          <w:szCs w:val="20"/>
          <w:rtl w:val="0"/>
        </w:rPr>
        <w:t xml:space="preserve"> de 2020-2022 corresponden a junio y el de 2023 a septiembre; la cobertura cambia de 29 a 27 países en 2022. No se atribuye su trayectoria a causas de suministro que la serie no identifica. </w:t>
      </w:r>
      <w:r w:rsidDel="00000000" w:rsidR="00000000" w:rsidRPr="00000000">
        <w:rPr>
          <w:b w:val="1"/>
          <w:bCs w:val="1"/>
          <w:color w:val="444444"/>
          <w:sz w:val="20"/>
          <w:szCs w:val="20"/>
          <w:rtl w:val="0"/>
        </w:rPr>
        <w:t xml:space="preserve">[U1, notas a-c] </w:t>
      </w:r>
    </w:p>
    <w:tbl>
      <w:tblPr>
        <w:tblStyle w:val="Table2"/>
        <w:tblW w:w="9870.0" w:type="dxa"/>
        <w:jc w:val="left"/>
        <w:tblInd w:w="10.746154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450"/>
        <w:gridCol w:w="1485"/>
        <w:gridCol w:w="3450"/>
        <w:tblGridChange w:id="0">
          <w:tblGrid>
            <w:gridCol w:w="1485"/>
            <w:gridCol w:w="3450"/>
            <w:gridCol w:w="1485"/>
            <w:gridCol w:w="3450"/>
          </w:tblGrid>
        </w:tblGridChange>
      </w:tblGrid>
      <w:tr>
        <w:trPr>
          <w:cantSplit w:val="0"/>
          <w:trHeight w:val="420" w:hRule="atLeast"/>
          <w:tblHeader w:val="0"/>
        </w:trPr>
        <w:tc>
          <w:tcPr>
            <w:shd w:fill="1a4a75"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REGISTRO </w:t>
            </w:r>
          </w:p>
        </w:tc>
        <w:tc>
          <w:tcPr>
            <w:shd w:fill="1a4a75"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INDICADOR Y PERIODO </w:t>
            </w:r>
          </w:p>
        </w:tc>
        <w:tc>
          <w:tcPr>
            <w:shd w:fill="1a4a75"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VALOR </w:t>
            </w:r>
          </w:p>
        </w:tc>
        <w:tc>
          <w:tcPr>
            <w:shd w:fill="1a4a75"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LÍMITE</w:t>
            </w:r>
          </w:p>
        </w:tc>
      </w:tr>
      <w:tr>
        <w:trPr>
          <w:cantSplit w:val="0"/>
          <w:trHeight w:val="87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Plástico reciclado usado; 12 meses al 30</w:t>
            </w:r>
            <w:r w:rsidDel="00000000" w:rsidR="00000000" w:rsidRPr="00000000">
              <w:rPr>
                <w:rFonts w:ascii="Roboto" w:cs="Roboto" w:eastAsia="Roboto" w:hAnsi="Roboto"/>
                <w:sz w:val="18"/>
                <w:szCs w:val="18"/>
                <w:rtl w:val="0"/>
              </w:rPr>
              <w:t xml:space="preserve"> de junio de 2020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76.000 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Países y cierre cambian; no atribuir trayectoria a causas de suministro no medidas.</w:t>
            </w:r>
          </w:p>
        </w:tc>
      </w:tr>
      <w:tr>
        <w:trPr>
          <w:cantSplit w:val="0"/>
          <w:trHeight w:val="88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Plástico reciclado usado; 12 meses al 30</w:t>
            </w:r>
            <w:r w:rsidDel="00000000" w:rsidR="00000000" w:rsidRPr="00000000">
              <w:rPr>
                <w:rFonts w:ascii="Roboto" w:cs="Roboto" w:eastAsia="Roboto" w:hAnsi="Roboto"/>
                <w:sz w:val="18"/>
                <w:szCs w:val="18"/>
                <w:rtl w:val="0"/>
              </w:rPr>
              <w:t xml:space="preserve"> de junio de 2021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125.000 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Países y cierre cambian; no atribuir trayectoria a causas de suministro no medidas.</w:t>
            </w:r>
          </w:p>
        </w:tc>
      </w:tr>
      <w:tr>
        <w:trPr>
          <w:cantSplit w:val="0"/>
          <w:trHeight w:val="88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Plástico reciclado usado; 12 meses al 30</w:t>
            </w:r>
            <w:r w:rsidDel="00000000" w:rsidR="00000000" w:rsidRPr="00000000">
              <w:rPr>
                <w:rFonts w:ascii="Roboto" w:cs="Roboto" w:eastAsia="Roboto" w:hAnsi="Roboto"/>
                <w:sz w:val="18"/>
                <w:szCs w:val="18"/>
                <w:rtl w:val="0"/>
              </w:rPr>
              <w:t xml:space="preserve"> de junio de 2022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145.000 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Países y cierre cambian; no atribuir trayectoria a causas de suministro no medidas.</w:t>
            </w:r>
          </w:p>
        </w:tc>
      </w:tr>
      <w:tr>
        <w:trPr>
          <w:cantSplit w:val="0"/>
          <w:trHeight w:val="88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Plástico reciclado usado; 12 meses al 30</w:t>
            </w:r>
            <w:r w:rsidDel="00000000" w:rsidR="00000000" w:rsidRPr="00000000">
              <w:rPr>
                <w:rFonts w:ascii="Roboto" w:cs="Roboto" w:eastAsia="Roboto" w:hAnsi="Roboto"/>
                <w:sz w:val="18"/>
                <w:szCs w:val="18"/>
                <w:rtl w:val="0"/>
              </w:rPr>
              <w:t xml:space="preserve"> de septiembre de 2023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146.000 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Países y cierre cambian; no atribuir trayectoria a causas de suministro no medidas.</w:t>
            </w:r>
          </w:p>
        </w:tc>
      </w:tr>
    </w:tbl>
    <w:p w:rsidR="00000000" w:rsidDel="00000000" w:rsidP="00000000" w:rsidRDefault="00000000" w:rsidRPr="00000000" w14:paraId="00000074">
      <w:pPr>
        <w:pStyle w:val="Heading2"/>
        <w:widowControl w:val="0"/>
        <w:spacing w:before="600" w:lineRule="auto"/>
        <w:rPr/>
      </w:pPr>
      <w:bookmarkStart w:colFirst="0" w:colLast="0" w:name="_eolq9662f1d5" w:id="9"/>
      <w:bookmarkEnd w:id="9"/>
      <w:r w:rsidDel="00000000" w:rsidR="00000000" w:rsidRPr="00000000">
        <w:rPr>
          <w:rtl w:val="0"/>
        </w:rPr>
        <w:t xml:space="preserve">4.2 NATURA &amp;CO: INDICADORES QUE NO DEBEN INTERCAMBIARSE </w:t>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0" w:right="11.353759765625" w:firstLine="0"/>
        <w:jc w:val="both"/>
        <w:rPr>
          <w:b w:val="1"/>
          <w:bCs w:val="1"/>
          <w:color w:val="444444"/>
          <w:sz w:val="20"/>
          <w:szCs w:val="20"/>
        </w:rPr>
      </w:pPr>
      <w:r w:rsidDel="00000000" w:rsidR="00000000" w:rsidRPr="00000000">
        <w:rPr>
          <w:rFonts w:ascii="Roboto" w:cs="Roboto" w:eastAsia="Roboto" w:hAnsi="Roboto"/>
          <w:color w:val="444444"/>
          <w:sz w:val="20"/>
          <w:szCs w:val="20"/>
          <w:rtl w:val="0"/>
        </w:rPr>
        <w:t xml:space="preserve">El 84,6% y el 87,8% son un indicador combinado de materiales reutilizables, reciclables o compostables, no reciclabilidad pura. </w:t>
      </w:r>
      <w:r w:rsidDel="00000000" w:rsidR="00000000" w:rsidRPr="00000000">
        <w:rPr>
          <w:rFonts w:ascii="Roboto" w:cs="Roboto" w:eastAsia="Roboto" w:hAnsi="Roboto"/>
          <w:color w:val="444444"/>
          <w:sz w:val="20"/>
          <w:szCs w:val="20"/>
          <w:rtl w:val="0"/>
        </w:rPr>
        <w:t xml:space="preserve">Elos</w:t>
      </w:r>
      <w:r w:rsidDel="00000000" w:rsidR="00000000" w:rsidRPr="00000000">
        <w:rPr>
          <w:rFonts w:ascii="Roboto" w:cs="Roboto" w:eastAsia="Roboto" w:hAnsi="Roboto"/>
          <w:color w:val="444444"/>
          <w:sz w:val="20"/>
          <w:szCs w:val="20"/>
          <w:rtl w:val="0"/>
        </w:rPr>
        <w:t xml:space="preserve"> aporta un registro de inversión y otro de masa recuperada; no forman por sí solos un costo total por tonelada.</w:t>
      </w:r>
      <w:r w:rsidDel="00000000" w:rsidR="00000000" w:rsidRPr="00000000">
        <w:rPr>
          <w:b w:val="1"/>
          <w:bCs w:val="1"/>
          <w:color w:val="444444"/>
          <w:sz w:val="20"/>
          <w:szCs w:val="20"/>
          <w:rtl w:val="0"/>
        </w:rPr>
        <w:t xml:space="preserve"> [N1] </w:t>
      </w:r>
    </w:p>
    <w:tbl>
      <w:tblPr>
        <w:tblStyle w:val="Table3"/>
        <w:tblW w:w="9870.0" w:type="dxa"/>
        <w:jc w:val="left"/>
        <w:tblInd w:w="10.746154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450"/>
        <w:gridCol w:w="1485"/>
        <w:gridCol w:w="3450"/>
        <w:tblGridChange w:id="0">
          <w:tblGrid>
            <w:gridCol w:w="1485"/>
            <w:gridCol w:w="3450"/>
            <w:gridCol w:w="1485"/>
            <w:gridCol w:w="3450"/>
          </w:tblGrid>
        </w:tblGridChange>
      </w:tblGrid>
      <w:tr>
        <w:trPr>
          <w:cantSplit w:val="1"/>
          <w:trHeight w:val="405" w:hRule="atLeast"/>
          <w:tblHeader w:val="1"/>
        </w:trPr>
        <w:tc>
          <w:tcPr>
            <w:shd w:fill="1a4a75"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REGISTRO </w:t>
            </w:r>
          </w:p>
        </w:tc>
        <w:tc>
          <w:tcPr>
            <w:shd w:fill="1a4a75"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INDICADOR Y PERIODO </w:t>
            </w:r>
          </w:p>
        </w:tc>
        <w:tc>
          <w:tcPr>
            <w:shd w:fill="1a4a75"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VALOR </w:t>
            </w:r>
          </w:p>
        </w:tc>
        <w:tc>
          <w:tcPr>
            <w:shd w:fill="1a4a75"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LÍMITE</w:t>
            </w:r>
          </w:p>
        </w:tc>
      </w:tr>
      <w:tr>
        <w:trPr>
          <w:cantSplit w:val="1"/>
          <w:trHeight w:val="88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Materiales reutilizables, reciclables o compostables; 2023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87,8 %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Indicador combinado; no reciclabilidad pura. Denominador y aseguramiento no reconciliados.</w:t>
            </w:r>
          </w:p>
        </w:tc>
      </w:tr>
      <w:tr>
        <w:trPr>
          <w:cantSplit w:val="1"/>
          <w:trHeight w:val="88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Materiales reutilizables, reciclables o compostables; 2024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84,6 %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Indicador combinado; no reciclabilidad pura. Denominador y aseguramiento no reconciliados.</w:t>
            </w:r>
          </w:p>
        </w:tc>
      </w:tr>
      <w:tr>
        <w:trPr>
          <w:cantSplit w:val="1"/>
          <w:trHeight w:val="88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Índice de plástico posconsumo reportado; 2024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18,2 %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La página también informa MRPC 9</w:t>
            </w:r>
            <w:r w:rsidDel="00000000" w:rsidR="00000000" w:rsidRPr="00000000">
              <w:rPr>
                <w:sz w:val="18"/>
                <w:szCs w:val="18"/>
                <w:rtl w:val="0"/>
              </w:rPr>
              <w:t xml:space="preserve">,</w:t>
            </w:r>
            <w:r w:rsidDel="00000000" w:rsidR="00000000" w:rsidRPr="00000000">
              <w:rPr>
                <w:rFonts w:ascii="Roboto" w:cs="Roboto" w:eastAsia="Roboto" w:hAnsi="Roboto"/>
                <w:sz w:val="18"/>
                <w:szCs w:val="18"/>
                <w:rtl w:val="0"/>
              </w:rPr>
              <w:t xml:space="preserve">5%; relación no armonizada. No usar como composición inequívoca.</w:t>
            </w:r>
          </w:p>
        </w:tc>
      </w:tr>
      <w:tr>
        <w:trPr>
          <w:cantSplit w:val="1"/>
          <w:trHeight w:val="64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AV1-008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Inversión Elos; 2024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1.014.173 BRL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No es costo total de gestión de toda la masa recuperada.</w:t>
            </w:r>
          </w:p>
        </w:tc>
      </w:tr>
      <w:tr>
        <w:trPr>
          <w:cantSplit w:val="1"/>
          <w:trHeight w:val="150" w:hRule="atLeast"/>
          <w:tblHeader w:val="0"/>
        </w:trPr>
        <w:tc>
          <w:tcPr>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AV1-009</w:t>
            </w:r>
          </w:p>
        </w:tc>
        <w:tc>
          <w:tcPr>
            <w:vAlign w:val="cente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Material de envases posconsumo recuperado; 2024</w:t>
            </w:r>
          </w:p>
        </w:tc>
        <w:tc>
          <w:tcPr>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15.385 t</w:t>
            </w:r>
          </w:p>
        </w:tc>
        <w:tc>
          <w:tcPr>
            <w:vAlign w:val="center"/>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No es tasa de reciclaje ni recuperación trazada del SKU piloto.</w:t>
            </w:r>
          </w:p>
        </w:tc>
      </w:tr>
    </w:tbl>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11.353759765625" w:firstLine="0"/>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La página también informa MRPC consolidado de 9,5%, además del índice destacado de 18,2%. Su relación no queda armonizada en el material revisado. Se conserva AV1-007 por trazabilidad, no como composición inequívoca del envase del piloto. Una aclaración de la empresa o documentación adicional es necesaria para esa interpretación</w:t>
      </w:r>
      <w:r w:rsidDel="00000000" w:rsidR="00000000" w:rsidRPr="00000000">
        <w:rPr>
          <w:b w:val="1"/>
          <w:bCs w:val="1"/>
          <w:color w:val="444444"/>
          <w:sz w:val="20"/>
          <w:szCs w:val="20"/>
          <w:rtl w:val="0"/>
        </w:rPr>
        <w:t xml:space="preserve">. [N1]</w:t>
      </w: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widowControl w:val="0"/>
        <w:spacing w:before="200" w:lineRule="auto"/>
        <w:rPr/>
      </w:pPr>
      <w:bookmarkStart w:colFirst="0" w:colLast="0" w:name="_mafsymw0grf2" w:id="10"/>
      <w:bookmarkEnd w:id="10"/>
      <w:r w:rsidDel="00000000" w:rsidR="00000000" w:rsidRPr="00000000">
        <w:rPr>
          <w:rtl w:val="0"/>
        </w:rPr>
        <w:t xml:space="preserve">4.3 SERNAC: PERCEPCIONES ENTRE PARTICIPANTES</w:t>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0" w:right="11.353759765625" w:firstLine="0"/>
        <w:jc w:val="both"/>
        <w:rPr>
          <w:b w:val="1"/>
          <w:bCs w:val="1"/>
          <w:sz w:val="18"/>
          <w:szCs w:val="18"/>
        </w:rPr>
      </w:pPr>
      <w:r w:rsidDel="00000000" w:rsidR="00000000" w:rsidRPr="00000000">
        <w:rPr>
          <w:rFonts w:ascii="Roboto" w:cs="Roboto" w:eastAsia="Roboto" w:hAnsi="Roboto"/>
          <w:color w:val="444444"/>
          <w:sz w:val="20"/>
          <w:szCs w:val="20"/>
          <w:rtl w:val="0"/>
        </w:rPr>
        <w:t xml:space="preserve">La encuesta de junio de 2025, informada en agosto, tiene muestra no probabilística de 616 personas y reconoce autoselección y deseabilidad social. No se reconstruyen bases válidas por ítem ni se extrapolan resultados a todo Chile.</w:t>
      </w:r>
      <w:r w:rsidDel="00000000" w:rsidR="00000000" w:rsidRPr="00000000">
        <w:rPr>
          <w:b w:val="1"/>
          <w:bCs w:val="1"/>
          <w:color w:val="444444"/>
          <w:sz w:val="20"/>
          <w:szCs w:val="20"/>
          <w:rtl w:val="0"/>
        </w:rPr>
        <w:t xml:space="preserve"> [S1, pp.1-2]</w:t>
      </w:r>
      <w:r w:rsidDel="00000000" w:rsidR="00000000" w:rsidRPr="00000000">
        <w:rPr>
          <w:rtl w:val="0"/>
        </w:rPr>
      </w:r>
    </w:p>
    <w:tbl>
      <w:tblPr>
        <w:tblStyle w:val="Table4"/>
        <w:tblW w:w="9870.0" w:type="dxa"/>
        <w:jc w:val="left"/>
        <w:tblInd w:w="10.746154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450"/>
        <w:gridCol w:w="1485"/>
        <w:gridCol w:w="3450"/>
        <w:tblGridChange w:id="0">
          <w:tblGrid>
            <w:gridCol w:w="1485"/>
            <w:gridCol w:w="3450"/>
            <w:gridCol w:w="1485"/>
            <w:gridCol w:w="3450"/>
          </w:tblGrid>
        </w:tblGridChange>
      </w:tblGrid>
      <w:tr>
        <w:trPr>
          <w:cantSplit w:val="0"/>
          <w:trHeight w:val="405" w:hRule="atLeast"/>
          <w:tblHeader w:val="0"/>
        </w:trPr>
        <w:tc>
          <w:tcPr>
            <w:shd w:fill="1a4a75"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REGISTRO </w:t>
            </w:r>
          </w:p>
        </w:tc>
        <w:tc>
          <w:tcPr>
            <w:shd w:fill="1a4a75"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INDICADOR </w:t>
            </w:r>
          </w:p>
        </w:tc>
        <w:tc>
          <w:tcPr>
            <w:shd w:fill="1a4a75"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VALOR </w:t>
            </w:r>
          </w:p>
        </w:tc>
        <w:tc>
          <w:tcPr>
            <w:shd w:fill="1a4a75"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LÍMITE</w:t>
            </w:r>
          </w:p>
        </w:tc>
      </w:tr>
      <w:tr>
        <w:trPr>
          <w:cantSplit w:val="0"/>
          <w:trHeight w:val="6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AV1-010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Información ambiental importante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90,3 %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No representativo nacional; autoselección y deseabilidad social.</w:t>
            </w:r>
          </w:p>
        </w:tc>
      </w:tr>
      <w:tr>
        <w:trPr>
          <w:cantSplit w:val="0"/>
          <w:trHeight w:val="6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AV1-011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Información suficiente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14,2 %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No representativo nacional; autoselección y deseabilidad social.</w:t>
            </w:r>
          </w:p>
        </w:tc>
      </w:tr>
      <w:tr>
        <w:trPr>
          <w:cantSplit w:val="0"/>
          <w:trHeight w:val="64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AV1-012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Información poco o nada clara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68,3 %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No representativo nacional; autoselección y deseabilidad social.</w:t>
            </w:r>
          </w:p>
        </w:tc>
      </w:tr>
      <w:tr>
        <w:trPr>
          <w:cantSplit w:val="0"/>
          <w:trHeight w:val="6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Información de marcas poco o nada confiable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64 %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No representativo nacional; autoselección y deseabilidad social.</w:t>
            </w:r>
          </w:p>
        </w:tc>
      </w:tr>
      <w:tr>
        <w:trPr>
          <w:cantSplit w:val="0"/>
          <w:trHeight w:val="64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AV1-014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Marcas poco o nada transparentes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87,2 %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No representativo nacional; autoselección y deseabilidad social.</w:t>
            </w:r>
          </w:p>
        </w:tc>
      </w:tr>
    </w:tbl>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11.353759765625" w:firstLine="0"/>
        <w:jc w:val="both"/>
        <w:rPr>
          <w:b w:val="1"/>
          <w:bCs w:val="1"/>
          <w:color w:val="444444"/>
          <w:sz w:val="20"/>
          <w:szCs w:val="20"/>
        </w:rPr>
      </w:pPr>
      <w:r w:rsidDel="00000000" w:rsidR="00000000" w:rsidRPr="00000000">
        <w:rPr>
          <w:rFonts w:ascii="Roboto" w:cs="Roboto" w:eastAsia="Roboto" w:hAnsi="Roboto"/>
          <w:color w:val="444444"/>
          <w:sz w:val="20"/>
          <w:szCs w:val="20"/>
          <w:rtl w:val="0"/>
        </w:rPr>
        <w:t xml:space="preserve">La diferencia entre 90,3 y 14,2 es 76,1 puntos porcentuales entre preguntas distintas; no identifica una combinación individual de respuestas ni demuestra un efecto en compra. Los porcentajes justifican estudiar comprensión y confianza; no permiten presuponer ventas o recompra por añadir un QR.</w:t>
      </w:r>
      <w:r w:rsidDel="00000000" w:rsidR="00000000" w:rsidRPr="00000000">
        <w:rPr>
          <w:b w:val="1"/>
          <w:bCs w:val="1"/>
          <w:color w:val="444444"/>
          <w:sz w:val="20"/>
          <w:szCs w:val="20"/>
          <w:rtl w:val="0"/>
        </w:rPr>
        <w:t xml:space="preserve"> [S1] </w:t>
      </w:r>
    </w:p>
    <w:p w:rsidR="00000000" w:rsidDel="00000000" w:rsidP="00000000" w:rsidRDefault="00000000" w:rsidRPr="00000000" w14:paraId="000000AA">
      <w:pPr>
        <w:pStyle w:val="Heading2"/>
        <w:widowControl w:val="0"/>
        <w:spacing w:before="600" w:lineRule="auto"/>
        <w:rPr/>
      </w:pPr>
      <w:bookmarkStart w:colFirst="0" w:colLast="0" w:name="_dh8s0h47g4n9" w:id="11"/>
      <w:bookmarkEnd w:id="11"/>
      <w:r w:rsidDel="00000000" w:rsidR="00000000" w:rsidRPr="00000000">
        <w:rPr>
          <w:rtl w:val="0"/>
        </w:rPr>
        <w:t xml:space="preserve">4.4 NYU: ASOCIACIÓN COMERCIAL, NO EFECTO DEL PCR </w:t>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190.87158203125" w:line="276.3508415222168" w:lineRule="auto"/>
        <w:ind w:left="0" w:right="11.353759765625" w:firstLine="0"/>
        <w:jc w:val="both"/>
        <w:rPr>
          <w:b w:val="1"/>
          <w:bCs w:val="1"/>
          <w:color w:val="444444"/>
          <w:sz w:val="20"/>
          <w:szCs w:val="20"/>
        </w:rPr>
      </w:pPr>
      <w:r w:rsidDel="00000000" w:rsidR="00000000" w:rsidRPr="00000000">
        <w:rPr>
          <w:rFonts w:ascii="Roboto" w:cs="Roboto" w:eastAsia="Roboto" w:hAnsi="Roboto"/>
          <w:color w:val="444444"/>
          <w:sz w:val="20"/>
          <w:szCs w:val="20"/>
          <w:rtl w:val="0"/>
        </w:rPr>
        <w:t xml:space="preserve">El SMSI 2025 utiliza datos Circana para productos de marca en 36 categorías de Estados Unidos; excluye marcas propias y recalcula históricos para esa base. Clasifica productos comercializados con atributos de sostenibilidad y no verifica su desempeño ambiental. La reciclabilidad del envase por sí sola está excluida como criterio.</w:t>
      </w:r>
      <w:r w:rsidDel="00000000" w:rsidR="00000000" w:rsidRPr="00000000">
        <w:rPr>
          <w:b w:val="1"/>
          <w:bCs w:val="1"/>
          <w:color w:val="444444"/>
          <w:sz w:val="20"/>
          <w:szCs w:val="20"/>
          <w:rtl w:val="0"/>
        </w:rPr>
        <w:t xml:space="preserve"> [M1, p.24] </w:t>
      </w:r>
    </w:p>
    <w:tbl>
      <w:tblPr>
        <w:tblStyle w:val="Table5"/>
        <w:tblW w:w="9870.0" w:type="dxa"/>
        <w:jc w:val="left"/>
        <w:tblInd w:w="10.746154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450"/>
        <w:gridCol w:w="1485"/>
        <w:gridCol w:w="3450"/>
        <w:tblGridChange w:id="0">
          <w:tblGrid>
            <w:gridCol w:w="1485"/>
            <w:gridCol w:w="3450"/>
            <w:gridCol w:w="1485"/>
            <w:gridCol w:w="3450"/>
          </w:tblGrid>
        </w:tblGridChange>
      </w:tblGrid>
      <w:tr>
        <w:trPr>
          <w:cantSplit w:val="0"/>
          <w:trHeight w:val="420" w:hRule="atLeast"/>
          <w:tblHeader w:val="0"/>
        </w:trPr>
        <w:tc>
          <w:tcPr>
            <w:shd w:fill="1a4a75"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1f3f4"/>
                <w:sz w:val="18"/>
                <w:szCs w:val="18"/>
              </w:rPr>
            </w:pPr>
            <w:r w:rsidDel="00000000" w:rsidR="00000000" w:rsidRPr="00000000">
              <w:rPr>
                <w:rFonts w:ascii="Roboto" w:cs="Roboto" w:eastAsia="Roboto" w:hAnsi="Roboto"/>
                <w:color w:val="f1f3f4"/>
                <w:sz w:val="18"/>
                <w:szCs w:val="18"/>
                <w:rtl w:val="0"/>
              </w:rPr>
              <w:t xml:space="preserve">REGISTRO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1f3f4"/>
                <w:sz w:val="18"/>
                <w:szCs w:val="18"/>
              </w:rPr>
            </w:pPr>
            <w:r w:rsidDel="00000000" w:rsidR="00000000" w:rsidRPr="00000000">
              <w:rPr>
                <w:rFonts w:ascii="Roboto" w:cs="Roboto" w:eastAsia="Roboto" w:hAnsi="Roboto"/>
                <w:color w:val="f1f3f4"/>
                <w:sz w:val="18"/>
                <w:szCs w:val="18"/>
                <w:rtl w:val="0"/>
              </w:rPr>
              <w:t xml:space="preserve">INDICADOR Y PERIODO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1f3f4"/>
                <w:sz w:val="18"/>
                <w:szCs w:val="18"/>
              </w:rPr>
            </w:pPr>
            <w:r w:rsidDel="00000000" w:rsidR="00000000" w:rsidRPr="00000000">
              <w:rPr>
                <w:rFonts w:ascii="Roboto" w:cs="Roboto" w:eastAsia="Roboto" w:hAnsi="Roboto"/>
                <w:color w:val="f1f3f4"/>
                <w:sz w:val="18"/>
                <w:szCs w:val="18"/>
                <w:rtl w:val="0"/>
              </w:rPr>
              <w:t xml:space="preserve">VALOR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1f3f4"/>
                <w:sz w:val="18"/>
                <w:szCs w:val="18"/>
              </w:rPr>
            </w:pPr>
            <w:r w:rsidDel="00000000" w:rsidR="00000000" w:rsidRPr="00000000">
              <w:rPr>
                <w:rFonts w:ascii="Roboto" w:cs="Roboto" w:eastAsia="Roboto" w:hAnsi="Roboto"/>
                <w:color w:val="f1f3f4"/>
                <w:sz w:val="18"/>
                <w:szCs w:val="18"/>
                <w:rtl w:val="0"/>
              </w:rPr>
              <w:t xml:space="preserve">LÍMITE</w:t>
            </w:r>
          </w:p>
        </w:tc>
      </w:tr>
      <w:tr>
        <w:trPr>
          <w:cantSplit w:val="0"/>
          <w:trHeight w:val="64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Cuota de productos comercializados como sostenibles;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25,4 % de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ventas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Clasificación comercial, no auditoría ambiental. Marcas propias excluidas.</w:t>
            </w:r>
          </w:p>
        </w:tc>
      </w:tr>
      <w:tr>
        <w:trPr>
          <w:cantSplit w:val="0"/>
          <w:trHeight w:val="88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CAGR de productos comercializados como sostenibles; Cinco años según informe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10,9 % anual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No reconstruir </w:t>
            </w:r>
            <w:r w:rsidDel="00000000" w:rsidR="00000000" w:rsidRPr="00000000">
              <w:rPr>
                <w:rFonts w:ascii="Roboto" w:cs="Roboto" w:eastAsia="Roboto" w:hAnsi="Roboto"/>
                <w:sz w:val="18"/>
                <w:szCs w:val="18"/>
                <w:rtl w:val="0"/>
              </w:rPr>
              <w:t xml:space="preserve">como</w:t>
            </w:r>
            <w:r w:rsidDel="00000000" w:rsidR="00000000" w:rsidRPr="00000000">
              <w:rPr>
                <w:rFonts w:ascii="Roboto" w:cs="Roboto" w:eastAsia="Roboto" w:hAnsi="Roboto"/>
                <w:sz w:val="18"/>
                <w:szCs w:val="18"/>
                <w:rtl w:val="0"/>
              </w:rPr>
              <w:t xml:space="preserve"> 2019-2024; no efecto causal de comunicación ni PCR.</w:t>
            </w:r>
          </w:p>
        </w:tc>
      </w:tr>
      <w:tr>
        <w:trPr>
          <w:cantSplit w:val="0"/>
          <w:trHeight w:val="6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CAGR de productos convencionales; Cinco años según informe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2,2 % anual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Comparación descriptiva; composición de productos y categorías propias.</w:t>
            </w:r>
          </w:p>
        </w:tc>
      </w:tr>
      <w:tr>
        <w:trPr>
          <w:cantSplit w:val="0"/>
          <w:trHeight w:val="64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AV1-018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Prima de precio ponderada observada; 2024; incluida en informe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26,6 %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No hay disposición garantizada a pagar en Chile; reciclabilidad sola no clasifica.</w:t>
            </w:r>
          </w:p>
        </w:tc>
      </w:tr>
    </w:tbl>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11.353759765625" w:firstLine="0"/>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La prima de 26,6% es observada y ponderada, del análisis de precios de 2024 incluido en el informe 2025. No es una disposición garantizada a pagar en Chile. La ventana del CAGR se conserva como cinco años reportados, sin reconstruirla como 2019-2024.</w:t>
      </w:r>
      <w:r w:rsidDel="00000000" w:rsidR="00000000" w:rsidRPr="00000000">
        <w:rPr>
          <w:b w:val="1"/>
          <w:bCs w:val="1"/>
          <w:color w:val="444444"/>
          <w:sz w:val="20"/>
          <w:szCs w:val="20"/>
          <w:rtl w:val="0"/>
        </w:rPr>
        <w:t xml:space="preserve"> [M1, pp.3,8,11-12] </w:t>
      </w: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widowControl w:val="0"/>
        <w:shd w:fill="cfe2f3" w:val="clear"/>
        <w:spacing w:before="400" w:line="240" w:lineRule="auto"/>
        <w:rPr>
          <w:vertAlign w:val="baseline"/>
        </w:rPr>
      </w:pPr>
      <w:bookmarkStart w:colFirst="0" w:colLast="0" w:name="_vynmzm1lsbra" w:id="12"/>
      <w:bookmarkEnd w:id="12"/>
      <w:r w:rsidDel="00000000" w:rsidR="00000000" w:rsidRPr="00000000">
        <w:rPr>
          <w:rtl w:val="0"/>
        </w:rPr>
        <w:t xml:space="preserve">TRADUCCIÓN AL RADAR </w:t>
      </w:r>
      <w:r w:rsidDel="00000000" w:rsidR="00000000" w:rsidRPr="00000000">
        <w:rPr>
          <w:rtl w:val="0"/>
        </w:rPr>
      </w:r>
    </w:p>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cfe2f3" w:val="clear"/>
        <w:spacing w:after="200" w:before="190.87158203125" w:line="276.3508415222168" w:lineRule="auto"/>
        <w:ind w:left="0" w:right="11.353759765625" w:firstLine="0"/>
        <w:jc w:val="both"/>
        <w:rPr>
          <w:rFonts w:ascii="Roboto" w:cs="Roboto" w:eastAsia="Roboto" w:hAnsi="Roboto"/>
          <w:color w:val="444444"/>
          <w:sz w:val="20"/>
          <w:szCs w:val="20"/>
        </w:rPr>
      </w:pPr>
      <w:r w:rsidDel="00000000" w:rsidR="00000000" w:rsidRPr="00000000">
        <w:rPr>
          <w:rFonts w:ascii="Roboto" w:cs="Roboto" w:eastAsia="Roboto" w:hAnsi="Roboto"/>
          <w:color w:val="444444"/>
          <w:sz w:val="20"/>
          <w:szCs w:val="20"/>
          <w:rtl w:val="0"/>
        </w:rPr>
        <w:t xml:space="preserve">Estas fuentes aportan escala material, circularidad corporativa, percepción de información y desempeño comercial. No se agregan en una prueba única. El Radar convierte sus límites en preguntas de vigilancia: qué perímetro cambió, qué denominador falta, qué información entiende el consumidor y qué resultado debe medirse en el mercado local. </w:t>
      </w:r>
    </w:p>
    <w:p w:rsidR="00000000" w:rsidDel="00000000" w:rsidP="00000000" w:rsidRDefault="00000000" w:rsidRPr="00000000" w14:paraId="000000C4">
      <w:pPr>
        <w:pStyle w:val="Heading1"/>
        <w:widowControl w:val="0"/>
        <w:spacing w:before="600" w:line="240" w:lineRule="auto"/>
        <w:rPr/>
      </w:pPr>
      <w:bookmarkStart w:colFirst="0" w:colLast="0" w:name="_dfq6dhkuq65q" w:id="13"/>
      <w:bookmarkEnd w:id="13"/>
      <w:r w:rsidDel="00000000" w:rsidR="00000000" w:rsidRPr="00000000">
        <w:rPr>
          <w:rtl w:val="0"/>
        </w:rPr>
        <w:t xml:space="preserve">5. FICHA RADAR: EVIDENCIA DEL ATRIBUTO ANTES DE ESCALAR </w:t>
      </w:r>
    </w:p>
    <w:p w:rsidR="00000000" w:rsidDel="00000000" w:rsidP="00000000" w:rsidRDefault="00000000" w:rsidRPr="00000000" w14:paraId="000000C5">
      <w:pPr>
        <w:rPr/>
      </w:pPr>
      <w:r w:rsidDel="00000000" w:rsidR="00000000" w:rsidRPr="00000000">
        <w:rPr>
          <w:rtl w:val="0"/>
        </w:rPr>
        <w:t xml:space="preserve">Esta ficha aplica el método a una propuesta de gestión de envases y comunicación. No declara una tendencia regional cuantificada ni una alerta legal universal.</w:t>
      </w:r>
    </w:p>
    <w:tbl>
      <w:tblPr>
        <w:tblStyle w:val="Table6"/>
        <w:tblW w:w="9945.0" w:type="dxa"/>
        <w:jc w:val="left"/>
        <w:tblInd w:w="10.74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2760"/>
        <w:gridCol w:w="6750"/>
        <w:tblGridChange w:id="0">
          <w:tblGrid>
            <w:gridCol w:w="435"/>
            <w:gridCol w:w="2760"/>
            <w:gridCol w:w="6750"/>
          </w:tblGrid>
        </w:tblGridChange>
      </w:tblGrid>
      <w:tr>
        <w:trPr>
          <w:cantSplit w:val="1"/>
          <w:trHeight w:val="840" w:hRule="atLeast"/>
          <w:tblHeader w:val="0"/>
        </w:trPr>
        <w:tc>
          <w:tcPr>
            <w:gridSpan w:val="2"/>
            <w:tcBorders>
              <w:right w:color="000000" w:space="0" w:sz="0" w:val="nil"/>
            </w:tcBorders>
            <w:shd w:fill="1a4a75" w:val="clear"/>
            <w:vAlign w:val="center"/>
          </w:tcPr>
          <w:p w:rsidR="00000000" w:rsidDel="00000000" w:rsidP="00000000" w:rsidRDefault="00000000" w:rsidRPr="00000000" w14:paraId="000000C6">
            <w:pPr>
              <w:spacing w:after="0" w:line="240" w:lineRule="auto"/>
              <w:ind w:left="0" w:right="0" w:firstLine="0"/>
              <w:jc w:val="left"/>
              <w:rPr/>
            </w:pPr>
            <w:r w:rsidDel="00000000" w:rsidR="00000000" w:rsidRPr="00000000">
              <w:rPr>
                <w:color w:val="ffffff"/>
                <w:sz w:val="18"/>
                <w:szCs w:val="18"/>
                <w:rtl w:val="0"/>
              </w:rPr>
              <w:t xml:space="preserve">ELEMENTO</w:t>
            </w:r>
            <w:r w:rsidDel="00000000" w:rsidR="00000000" w:rsidRPr="00000000">
              <w:rPr>
                <w:rtl w:val="0"/>
              </w:rPr>
            </w:r>
          </w:p>
        </w:tc>
        <w:tc>
          <w:tcPr>
            <w:tcBorders>
              <w:left w:color="000000" w:space="0" w:sz="0" w:val="nil"/>
            </w:tcBorders>
            <w:shd w:fill="1a4a75" w:val="clear"/>
            <w:vAlign w:val="center"/>
          </w:tcPr>
          <w:p w:rsidR="00000000" w:rsidDel="00000000" w:rsidP="00000000" w:rsidRDefault="00000000" w:rsidRPr="00000000" w14:paraId="000000C8">
            <w:pPr>
              <w:spacing w:after="0" w:line="240" w:lineRule="auto"/>
              <w:ind w:left="0" w:right="0" w:firstLine="0"/>
              <w:jc w:val="left"/>
              <w:rPr/>
            </w:pPr>
            <w:r w:rsidDel="00000000" w:rsidR="00000000" w:rsidRPr="00000000">
              <w:rPr>
                <w:color w:val="ffffff"/>
                <w:sz w:val="18"/>
                <w:szCs w:val="18"/>
                <w:rtl w:val="0"/>
              </w:rPr>
              <w:t xml:space="preserve">CONTENIDO</w:t>
            </w:r>
            <w:r w:rsidDel="00000000" w:rsidR="00000000" w:rsidRPr="00000000">
              <w:rPr>
                <w:rtl w:val="0"/>
              </w:rPr>
            </w:r>
          </w:p>
        </w:tc>
      </w:tr>
      <w:tr>
        <w:trPr>
          <w:cantSplit w:val="1"/>
          <w:trHeight w:val="840" w:hRule="atLeast"/>
          <w:tblHeader w:val="0"/>
        </w:trPr>
        <w:tc>
          <w:tcPr>
            <w:tcBorders>
              <w:right w:color="000000" w:space="0" w:sz="0" w:val="nil"/>
            </w:tcBorders>
            <w:vAlign w:val="center"/>
          </w:tcPr>
          <w:p w:rsidR="00000000" w:rsidDel="00000000" w:rsidP="00000000" w:rsidRDefault="00000000" w:rsidRPr="00000000" w14:paraId="000000C9">
            <w:pPr>
              <w:spacing w:after="0" w:line="240" w:lineRule="auto"/>
              <w:ind w:left="0" w:firstLine="0"/>
              <w:rPr/>
            </w:pPr>
            <w:r w:rsidDel="00000000" w:rsidR="00000000" w:rsidRPr="00000000">
              <w:rPr>
                <w:sz w:val="18"/>
                <w:szCs w:val="18"/>
                <w:rtl w:val="0"/>
              </w:rPr>
              <w:t xml:space="preserve">1</w:t>
            </w: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CA">
            <w:pPr>
              <w:spacing w:after="0" w:line="240" w:lineRule="auto"/>
              <w:ind w:left="0" w:firstLine="0"/>
              <w:rPr/>
            </w:pPr>
            <w:r w:rsidDel="00000000" w:rsidR="00000000" w:rsidRPr="00000000">
              <w:rPr>
                <w:sz w:val="18"/>
                <w:szCs w:val="18"/>
                <w:rtl w:val="0"/>
              </w:rPr>
              <w:t xml:space="preserve">Título accionable</w:t>
            </w:r>
            <w:r w:rsidDel="00000000" w:rsidR="00000000" w:rsidRPr="00000000">
              <w:rPr>
                <w:rtl w:val="0"/>
              </w:rPr>
            </w:r>
          </w:p>
        </w:tc>
        <w:tc>
          <w:tcPr>
            <w:vAlign w:val="center"/>
          </w:tcPr>
          <w:p w:rsidR="00000000" w:rsidDel="00000000" w:rsidP="00000000" w:rsidRDefault="00000000" w:rsidRPr="00000000" w14:paraId="000000CB">
            <w:pPr>
              <w:spacing w:after="0" w:line="240" w:lineRule="auto"/>
              <w:ind w:left="0" w:right="0" w:firstLine="0"/>
              <w:jc w:val="left"/>
              <w:rPr/>
            </w:pPr>
            <w:r w:rsidDel="00000000" w:rsidR="00000000" w:rsidRPr="00000000">
              <w:rPr>
                <w:sz w:val="18"/>
                <w:szCs w:val="18"/>
                <w:rtl w:val="0"/>
              </w:rPr>
              <w:t xml:space="preserve">Exigir evidencia del atributo antes de comunicar y evaluar su valor antes de escalar.</w:t>
            </w:r>
            <w:r w:rsidDel="00000000" w:rsidR="00000000" w:rsidRPr="00000000">
              <w:rPr>
                <w:rtl w:val="0"/>
              </w:rPr>
            </w:r>
          </w:p>
        </w:tc>
      </w:tr>
      <w:tr>
        <w:trPr>
          <w:cantSplit w:val="1"/>
          <w:trHeight w:val="840" w:hRule="atLeast"/>
          <w:tblHeader w:val="0"/>
        </w:trPr>
        <w:tc>
          <w:tcPr>
            <w:tcBorders>
              <w:right w:color="000000" w:space="0" w:sz="0" w:val="nil"/>
            </w:tcBorders>
            <w:vAlign w:val="center"/>
          </w:tcPr>
          <w:p w:rsidR="00000000" w:rsidDel="00000000" w:rsidP="00000000" w:rsidRDefault="00000000" w:rsidRPr="00000000" w14:paraId="000000CC">
            <w:pPr>
              <w:spacing w:after="0" w:line="240" w:lineRule="auto"/>
              <w:ind w:left="0" w:right="0" w:firstLine="0"/>
              <w:jc w:val="left"/>
              <w:rPr/>
            </w:pPr>
            <w:r w:rsidDel="00000000" w:rsidR="00000000" w:rsidRPr="00000000">
              <w:rPr>
                <w:sz w:val="18"/>
                <w:szCs w:val="18"/>
                <w:rtl w:val="0"/>
              </w:rPr>
              <w:t xml:space="preserve">2</w:t>
            </w: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CD">
            <w:pPr>
              <w:spacing w:after="0" w:line="240" w:lineRule="auto"/>
              <w:ind w:left="0" w:right="0" w:firstLine="0"/>
              <w:jc w:val="left"/>
              <w:rPr/>
            </w:pPr>
            <w:r w:rsidDel="00000000" w:rsidR="00000000" w:rsidRPr="00000000">
              <w:rPr>
                <w:sz w:val="18"/>
                <w:szCs w:val="18"/>
                <w:rtl w:val="0"/>
              </w:rPr>
              <w:t xml:space="preserve">Ejes</w:t>
            </w:r>
            <w:r w:rsidDel="00000000" w:rsidR="00000000" w:rsidRPr="00000000">
              <w:rPr>
                <w:rtl w:val="0"/>
              </w:rPr>
            </w:r>
          </w:p>
        </w:tc>
        <w:tc>
          <w:tcPr>
            <w:vAlign w:val="center"/>
          </w:tcPr>
          <w:p w:rsidR="00000000" w:rsidDel="00000000" w:rsidP="00000000" w:rsidRDefault="00000000" w:rsidRPr="00000000" w14:paraId="000000CE">
            <w:pPr>
              <w:spacing w:after="0" w:line="240" w:lineRule="auto"/>
              <w:ind w:left="0" w:right="0" w:firstLine="0"/>
              <w:jc w:val="left"/>
              <w:rPr/>
            </w:pPr>
            <w:r w:rsidDel="00000000" w:rsidR="00000000" w:rsidRPr="00000000">
              <w:rPr>
                <w:sz w:val="18"/>
                <w:szCs w:val="18"/>
                <w:rtl w:val="0"/>
              </w:rPr>
              <w:t xml:space="preserve">Regulación y cumplimiento; economía circular y materiales; cadenas de valor.</w:t>
            </w:r>
            <w:r w:rsidDel="00000000" w:rsidR="00000000" w:rsidRPr="00000000">
              <w:rPr>
                <w:rtl w:val="0"/>
              </w:rPr>
            </w:r>
          </w:p>
        </w:tc>
      </w:tr>
      <w:tr>
        <w:trPr>
          <w:cantSplit w:val="1"/>
          <w:trHeight w:val="840" w:hRule="atLeast"/>
          <w:tblHeader w:val="0"/>
        </w:trPr>
        <w:tc>
          <w:tcPr>
            <w:tcBorders>
              <w:right w:color="000000" w:space="0" w:sz="0" w:val="nil"/>
            </w:tcBorders>
            <w:vAlign w:val="center"/>
          </w:tcPr>
          <w:p w:rsidR="00000000" w:rsidDel="00000000" w:rsidP="00000000" w:rsidRDefault="00000000" w:rsidRPr="00000000" w14:paraId="000000CF">
            <w:pPr>
              <w:spacing w:after="0" w:line="240" w:lineRule="auto"/>
              <w:ind w:left="0" w:right="0" w:firstLine="0"/>
              <w:jc w:val="left"/>
              <w:rPr/>
            </w:pPr>
            <w:r w:rsidDel="00000000" w:rsidR="00000000" w:rsidRPr="00000000">
              <w:rPr>
                <w:sz w:val="18"/>
                <w:szCs w:val="18"/>
                <w:rtl w:val="0"/>
              </w:rPr>
              <w:t xml:space="preserve">3</w:t>
            </w: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D0">
            <w:pPr>
              <w:spacing w:after="0" w:line="240" w:lineRule="auto"/>
              <w:ind w:left="0" w:right="0" w:firstLine="0"/>
              <w:jc w:val="left"/>
              <w:rPr/>
            </w:pPr>
            <w:r w:rsidDel="00000000" w:rsidR="00000000" w:rsidRPr="00000000">
              <w:rPr>
                <w:sz w:val="18"/>
                <w:szCs w:val="18"/>
                <w:rtl w:val="0"/>
              </w:rPr>
              <w:t xml:space="preserve">Índice y alerta</w:t>
            </w:r>
            <w:r w:rsidDel="00000000" w:rsidR="00000000" w:rsidRPr="00000000">
              <w:rPr>
                <w:rtl w:val="0"/>
              </w:rPr>
            </w:r>
          </w:p>
        </w:tc>
        <w:tc>
          <w:tcPr>
            <w:vAlign w:val="center"/>
          </w:tcPr>
          <w:p w:rsidR="00000000" w:rsidDel="00000000" w:rsidP="00000000" w:rsidRDefault="00000000" w:rsidRPr="00000000" w14:paraId="000000D1">
            <w:pPr>
              <w:spacing w:after="0" w:line="240" w:lineRule="auto"/>
              <w:ind w:left="0" w:right="0" w:firstLine="0"/>
              <w:jc w:val="left"/>
              <w:rPr/>
            </w:pPr>
            <w:r w:rsidDel="00000000" w:rsidR="00000000" w:rsidRPr="00000000">
              <w:rPr>
                <w:sz w:val="18"/>
                <w:szCs w:val="18"/>
                <w:rtl w:val="0"/>
              </w:rPr>
              <w:t xml:space="preserve">75,6/100; 76 redondeado; Alto. Valoración editorial provisional.</w:t>
            </w:r>
            <w:r w:rsidDel="00000000" w:rsidR="00000000" w:rsidRPr="00000000">
              <w:rPr>
                <w:rtl w:val="0"/>
              </w:rPr>
            </w:r>
          </w:p>
        </w:tc>
      </w:tr>
      <w:tr>
        <w:trPr>
          <w:cantSplit w:val="1"/>
          <w:trHeight w:val="840" w:hRule="atLeast"/>
          <w:tblHeader w:val="0"/>
        </w:trPr>
        <w:tc>
          <w:tcPr>
            <w:tcBorders>
              <w:right w:color="000000" w:space="0" w:sz="0" w:val="nil"/>
            </w:tcBorders>
            <w:vAlign w:val="center"/>
          </w:tcPr>
          <w:p w:rsidR="00000000" w:rsidDel="00000000" w:rsidP="00000000" w:rsidRDefault="00000000" w:rsidRPr="00000000" w14:paraId="000000D2">
            <w:pPr>
              <w:spacing w:after="0" w:line="240" w:lineRule="auto"/>
              <w:ind w:left="0" w:right="0" w:firstLine="0"/>
              <w:jc w:val="left"/>
              <w:rPr/>
            </w:pPr>
            <w:r w:rsidDel="00000000" w:rsidR="00000000" w:rsidRPr="00000000">
              <w:rPr>
                <w:sz w:val="18"/>
                <w:szCs w:val="18"/>
                <w:rtl w:val="0"/>
              </w:rPr>
              <w:t xml:space="preserve">4</w:t>
            </w: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D3">
            <w:pPr>
              <w:spacing w:after="0" w:line="240" w:lineRule="auto"/>
              <w:ind w:left="0" w:right="0" w:firstLine="0"/>
              <w:jc w:val="left"/>
              <w:rPr/>
            </w:pPr>
            <w:r w:rsidDel="00000000" w:rsidR="00000000" w:rsidRPr="00000000">
              <w:rPr>
                <w:sz w:val="18"/>
                <w:szCs w:val="18"/>
                <w:rtl w:val="0"/>
              </w:rPr>
              <w:t xml:space="preserve">Qué ocurre</w:t>
            </w:r>
            <w:r w:rsidDel="00000000" w:rsidR="00000000" w:rsidRPr="00000000">
              <w:rPr>
                <w:rtl w:val="0"/>
              </w:rPr>
            </w:r>
          </w:p>
        </w:tc>
        <w:tc>
          <w:tcPr>
            <w:vAlign w:val="center"/>
          </w:tcPr>
          <w:p w:rsidR="00000000" w:rsidDel="00000000" w:rsidP="00000000" w:rsidRDefault="00000000" w:rsidRPr="00000000" w14:paraId="000000D4">
            <w:pPr>
              <w:spacing w:after="0" w:line="240" w:lineRule="auto"/>
              <w:ind w:left="0" w:right="0" w:firstLine="0"/>
              <w:jc w:val="left"/>
              <w:rPr/>
            </w:pPr>
            <w:r w:rsidDel="00000000" w:rsidR="00000000" w:rsidRPr="00000000">
              <w:rPr>
                <w:sz w:val="18"/>
                <w:szCs w:val="18"/>
                <w:rtl w:val="0"/>
              </w:rPr>
              <w:t xml:space="preserve">El expediente reúne información, gestión de envases y evaluación comercial como problemas relacionados, no equivalentes.</w:t>
            </w:r>
            <w:r w:rsidDel="00000000" w:rsidR="00000000" w:rsidRPr="00000000">
              <w:rPr>
                <w:rtl w:val="0"/>
              </w:rPr>
            </w:r>
          </w:p>
        </w:tc>
      </w:tr>
      <w:tr>
        <w:trPr>
          <w:cantSplit w:val="1"/>
          <w:trHeight w:val="840" w:hRule="atLeast"/>
          <w:tblHeader w:val="0"/>
        </w:trPr>
        <w:tc>
          <w:tcPr>
            <w:tcBorders>
              <w:right w:color="000000" w:space="0" w:sz="0" w:val="nil"/>
            </w:tcBorders>
            <w:vAlign w:val="center"/>
          </w:tcPr>
          <w:p w:rsidR="00000000" w:rsidDel="00000000" w:rsidP="00000000" w:rsidRDefault="00000000" w:rsidRPr="00000000" w14:paraId="000000D5">
            <w:pPr>
              <w:spacing w:after="0" w:line="240" w:lineRule="auto"/>
              <w:ind w:left="0" w:right="0" w:firstLine="0"/>
              <w:jc w:val="left"/>
              <w:rPr/>
            </w:pPr>
            <w:r w:rsidDel="00000000" w:rsidR="00000000" w:rsidRPr="00000000">
              <w:rPr>
                <w:sz w:val="18"/>
                <w:szCs w:val="18"/>
                <w:rtl w:val="0"/>
              </w:rPr>
              <w:t xml:space="preserve">5</w:t>
            </w: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D6">
            <w:pPr>
              <w:spacing w:after="0" w:line="240" w:lineRule="auto"/>
              <w:ind w:left="0" w:right="0" w:firstLine="0"/>
              <w:jc w:val="left"/>
              <w:rPr/>
            </w:pPr>
            <w:r w:rsidDel="00000000" w:rsidR="00000000" w:rsidRPr="00000000">
              <w:rPr>
                <w:sz w:val="18"/>
                <w:szCs w:val="18"/>
                <w:rtl w:val="0"/>
              </w:rPr>
              <w:t xml:space="preserve">Por qué importa</w:t>
            </w:r>
            <w:r w:rsidDel="00000000" w:rsidR="00000000" w:rsidRPr="00000000">
              <w:rPr>
                <w:rtl w:val="0"/>
              </w:rPr>
            </w:r>
          </w:p>
        </w:tc>
        <w:tc>
          <w:tcPr>
            <w:vAlign w:val="center"/>
          </w:tcPr>
          <w:p w:rsidR="00000000" w:rsidDel="00000000" w:rsidP="00000000" w:rsidRDefault="00000000" w:rsidRPr="00000000" w14:paraId="000000D7">
            <w:pPr>
              <w:spacing w:after="0" w:line="240" w:lineRule="auto"/>
              <w:ind w:left="0" w:right="0" w:firstLine="0"/>
              <w:jc w:val="left"/>
              <w:rPr/>
            </w:pPr>
            <w:r w:rsidDel="00000000" w:rsidR="00000000" w:rsidRPr="00000000">
              <w:rPr>
                <w:sz w:val="18"/>
                <w:szCs w:val="18"/>
                <w:rtl w:val="0"/>
              </w:rPr>
              <w:t xml:space="preserve">Permite identificar decisiones que dependen de un atributo aún no demostrado, de su costo y de la respuesta del mercado.</w:t>
            </w:r>
            <w:r w:rsidDel="00000000" w:rsidR="00000000" w:rsidRPr="00000000">
              <w:rPr>
                <w:rtl w:val="0"/>
              </w:rPr>
            </w:r>
          </w:p>
        </w:tc>
      </w:tr>
      <w:tr>
        <w:trPr>
          <w:cantSplit w:val="1"/>
          <w:trHeight w:val="840" w:hRule="atLeast"/>
          <w:tblHeader w:val="0"/>
        </w:trPr>
        <w:tc>
          <w:tcPr>
            <w:tcBorders>
              <w:right w:color="000000" w:space="0" w:sz="0" w:val="nil"/>
            </w:tcBorders>
            <w:vAlign w:val="center"/>
          </w:tcPr>
          <w:p w:rsidR="00000000" w:rsidDel="00000000" w:rsidP="00000000" w:rsidRDefault="00000000" w:rsidRPr="00000000" w14:paraId="000000D8">
            <w:pPr>
              <w:spacing w:after="0" w:line="240" w:lineRule="auto"/>
              <w:ind w:left="0" w:right="0" w:firstLine="0"/>
              <w:jc w:val="left"/>
              <w:rPr/>
            </w:pPr>
            <w:r w:rsidDel="00000000" w:rsidR="00000000" w:rsidRPr="00000000">
              <w:rPr>
                <w:sz w:val="18"/>
                <w:szCs w:val="18"/>
                <w:rtl w:val="0"/>
              </w:rPr>
              <w:t xml:space="preserve">6</w:t>
            </w: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D9">
            <w:pPr>
              <w:spacing w:after="0" w:line="240" w:lineRule="auto"/>
              <w:ind w:left="0" w:right="0" w:firstLine="0"/>
              <w:jc w:val="left"/>
              <w:rPr/>
            </w:pPr>
            <w:r w:rsidDel="00000000" w:rsidR="00000000" w:rsidRPr="00000000">
              <w:rPr>
                <w:sz w:val="18"/>
                <w:szCs w:val="18"/>
                <w:rtl w:val="0"/>
              </w:rPr>
              <w:t xml:space="preserve">Quién está expuesto</w:t>
            </w:r>
            <w:r w:rsidDel="00000000" w:rsidR="00000000" w:rsidRPr="00000000">
              <w:rPr>
                <w:rtl w:val="0"/>
              </w:rPr>
            </w:r>
          </w:p>
        </w:tc>
        <w:tc>
          <w:tcPr>
            <w:vAlign w:val="center"/>
          </w:tcPr>
          <w:p w:rsidR="00000000" w:rsidDel="00000000" w:rsidP="00000000" w:rsidRDefault="00000000" w:rsidRPr="00000000" w14:paraId="000000DA">
            <w:pPr>
              <w:spacing w:after="0" w:line="240" w:lineRule="auto"/>
              <w:ind w:left="0" w:right="0" w:firstLine="0"/>
              <w:jc w:val="left"/>
              <w:rPr/>
            </w:pPr>
            <w:r w:rsidDel="00000000" w:rsidR="00000000" w:rsidRPr="00000000">
              <w:rPr>
                <w:sz w:val="18"/>
                <w:szCs w:val="18"/>
                <w:rtl w:val="0"/>
              </w:rPr>
              <w:t xml:space="preserve">Caso inicial de productores y proveedores de productos envasados en Chile. Alcance jurídico por revisar individualmente.</w:t>
            </w:r>
            <w:r w:rsidDel="00000000" w:rsidR="00000000" w:rsidRPr="00000000">
              <w:rPr>
                <w:rtl w:val="0"/>
              </w:rPr>
            </w:r>
          </w:p>
        </w:tc>
      </w:tr>
      <w:tr>
        <w:trPr>
          <w:cantSplit w:val="1"/>
          <w:trHeight w:val="840" w:hRule="atLeast"/>
          <w:tblHeader w:val="0"/>
        </w:trPr>
        <w:tc>
          <w:tcPr>
            <w:tcBorders>
              <w:right w:color="000000" w:space="0" w:sz="0" w:val="nil"/>
            </w:tcBorders>
            <w:vAlign w:val="center"/>
          </w:tcPr>
          <w:p w:rsidR="00000000" w:rsidDel="00000000" w:rsidP="00000000" w:rsidRDefault="00000000" w:rsidRPr="00000000" w14:paraId="000000DB">
            <w:pPr>
              <w:spacing w:after="0" w:line="240" w:lineRule="auto"/>
              <w:ind w:left="0" w:right="0" w:firstLine="0"/>
              <w:jc w:val="left"/>
              <w:rPr/>
            </w:pPr>
            <w:r w:rsidDel="00000000" w:rsidR="00000000" w:rsidRPr="00000000">
              <w:rPr>
                <w:sz w:val="18"/>
                <w:szCs w:val="18"/>
                <w:rtl w:val="0"/>
              </w:rPr>
              <w:t xml:space="preserve">7</w:t>
            </w: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DC">
            <w:pPr>
              <w:spacing w:after="0" w:line="240" w:lineRule="auto"/>
              <w:ind w:left="0" w:right="0" w:firstLine="0"/>
              <w:jc w:val="left"/>
              <w:rPr/>
            </w:pPr>
            <w:r w:rsidDel="00000000" w:rsidR="00000000" w:rsidRPr="00000000">
              <w:rPr>
                <w:sz w:val="18"/>
                <w:szCs w:val="18"/>
                <w:rtl w:val="0"/>
              </w:rPr>
              <w:t xml:space="preserve">Vigilancia </w:t>
            </w:r>
            <w:r w:rsidDel="00000000" w:rsidR="00000000" w:rsidRPr="00000000">
              <w:rPr>
                <w:rtl w:val="0"/>
              </w:rPr>
            </w:r>
          </w:p>
        </w:tc>
        <w:tc>
          <w:tcPr>
            <w:vAlign w:val="center"/>
          </w:tcPr>
          <w:p w:rsidR="00000000" w:rsidDel="00000000" w:rsidP="00000000" w:rsidRDefault="00000000" w:rsidRPr="00000000" w14:paraId="000000DD">
            <w:pPr>
              <w:spacing w:after="0" w:line="240" w:lineRule="auto"/>
              <w:ind w:left="0" w:right="0" w:firstLine="0"/>
              <w:jc w:val="left"/>
              <w:rPr/>
            </w:pPr>
            <w:r w:rsidDel="00000000" w:rsidR="00000000" w:rsidRPr="00000000">
              <w:rPr>
                <w:sz w:val="18"/>
                <w:szCs w:val="18"/>
                <w:rtl w:val="0"/>
              </w:rPr>
              <w:t xml:space="preserve">Proveedor, formulación, función, merma, stock, costos, tarifas, mensajes y quejas.</w:t>
            </w:r>
            <w:r w:rsidDel="00000000" w:rsidR="00000000" w:rsidRPr="00000000">
              <w:rPr>
                <w:rtl w:val="0"/>
              </w:rPr>
            </w:r>
          </w:p>
        </w:tc>
      </w:tr>
      <w:tr>
        <w:trPr>
          <w:cantSplit w:val="1"/>
          <w:trHeight w:val="840" w:hRule="atLeast"/>
          <w:tblHeader w:val="0"/>
        </w:trPr>
        <w:tc>
          <w:tcPr>
            <w:tcBorders>
              <w:right w:color="000000" w:space="0" w:sz="0" w:val="nil"/>
            </w:tcBorders>
            <w:vAlign w:val="center"/>
          </w:tcPr>
          <w:p w:rsidR="00000000" w:rsidDel="00000000" w:rsidP="00000000" w:rsidRDefault="00000000" w:rsidRPr="00000000" w14:paraId="000000DE">
            <w:pPr>
              <w:spacing w:after="0" w:line="240" w:lineRule="auto"/>
              <w:ind w:left="0" w:right="0" w:firstLine="0"/>
              <w:jc w:val="left"/>
              <w:rPr/>
            </w:pPr>
            <w:r w:rsidDel="00000000" w:rsidR="00000000" w:rsidRPr="00000000">
              <w:rPr>
                <w:sz w:val="18"/>
                <w:szCs w:val="18"/>
                <w:rtl w:val="0"/>
              </w:rPr>
              <w:t xml:space="preserve">8</w:t>
            </w: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DF">
            <w:pPr>
              <w:spacing w:after="0" w:line="240" w:lineRule="auto"/>
              <w:ind w:left="0" w:right="0" w:firstLine="0"/>
              <w:jc w:val="left"/>
              <w:rPr/>
            </w:pPr>
            <w:r w:rsidDel="00000000" w:rsidR="00000000" w:rsidRPr="00000000">
              <w:rPr>
                <w:sz w:val="18"/>
                <w:szCs w:val="18"/>
                <w:rtl w:val="0"/>
              </w:rPr>
              <w:t xml:space="preserve">Decisiones 30/90/180 días</w:t>
            </w:r>
            <w:r w:rsidDel="00000000" w:rsidR="00000000" w:rsidRPr="00000000">
              <w:rPr>
                <w:rtl w:val="0"/>
              </w:rPr>
            </w:r>
          </w:p>
        </w:tc>
        <w:tc>
          <w:tcPr>
            <w:vAlign w:val="center"/>
          </w:tcPr>
          <w:p w:rsidR="00000000" w:rsidDel="00000000" w:rsidP="00000000" w:rsidRDefault="00000000" w:rsidRPr="00000000" w14:paraId="000000E0">
            <w:pPr>
              <w:spacing w:after="0" w:line="240" w:lineRule="auto"/>
              <w:ind w:left="0" w:right="0" w:firstLine="0"/>
              <w:jc w:val="left"/>
              <w:rPr/>
            </w:pPr>
            <w:r w:rsidDel="00000000" w:rsidR="00000000" w:rsidRPr="00000000">
              <w:rPr>
                <w:sz w:val="18"/>
                <w:szCs w:val="18"/>
                <w:rtl w:val="0"/>
              </w:rPr>
              <w:t xml:space="preserve">30: caso, claims y línea base. 90: homologación y expediente técnico-legal. 180: asignación, muestra, medición y análisis cerrados antes de iniciar.</w:t>
            </w:r>
            <w:r w:rsidDel="00000000" w:rsidR="00000000" w:rsidRPr="00000000">
              <w:rPr>
                <w:rtl w:val="0"/>
              </w:rPr>
            </w:r>
          </w:p>
        </w:tc>
      </w:tr>
      <w:tr>
        <w:trPr>
          <w:cantSplit w:val="1"/>
          <w:trHeight w:val="840" w:hRule="atLeast"/>
          <w:tblHeader w:val="0"/>
        </w:trPr>
        <w:tc>
          <w:tcPr>
            <w:tcBorders>
              <w:right w:color="000000" w:space="0" w:sz="0" w:val="nil"/>
            </w:tcBorders>
            <w:vAlign w:val="center"/>
          </w:tcPr>
          <w:p w:rsidR="00000000" w:rsidDel="00000000" w:rsidP="00000000" w:rsidRDefault="00000000" w:rsidRPr="00000000" w14:paraId="000000E1">
            <w:pPr>
              <w:spacing w:after="0" w:line="240" w:lineRule="auto"/>
              <w:ind w:left="0" w:right="0" w:firstLine="0"/>
              <w:jc w:val="left"/>
              <w:rPr/>
            </w:pPr>
            <w:r w:rsidDel="00000000" w:rsidR="00000000" w:rsidRPr="00000000">
              <w:rPr>
                <w:sz w:val="18"/>
                <w:szCs w:val="18"/>
                <w:rtl w:val="0"/>
              </w:rPr>
              <w:t xml:space="preserve">9</w:t>
            </w: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E2">
            <w:pPr>
              <w:spacing w:after="0" w:line="240" w:lineRule="auto"/>
              <w:ind w:left="0" w:right="0" w:firstLine="0"/>
              <w:jc w:val="left"/>
              <w:rPr/>
            </w:pPr>
            <w:r w:rsidDel="00000000" w:rsidR="00000000" w:rsidRPr="00000000">
              <w:rPr>
                <w:sz w:val="18"/>
                <w:szCs w:val="18"/>
                <w:rtl w:val="0"/>
              </w:rPr>
              <w:t xml:space="preserve">Dataset y métricas</w:t>
            </w:r>
            <w:r w:rsidDel="00000000" w:rsidR="00000000" w:rsidRPr="00000000">
              <w:rPr>
                <w:rtl w:val="0"/>
              </w:rPr>
            </w:r>
          </w:p>
        </w:tc>
        <w:tc>
          <w:tcPr>
            <w:vAlign w:val="center"/>
          </w:tcPr>
          <w:p w:rsidR="00000000" w:rsidDel="00000000" w:rsidP="00000000" w:rsidRDefault="00000000" w:rsidRPr="00000000" w14:paraId="000000E3">
            <w:pPr>
              <w:spacing w:after="0" w:line="240" w:lineRule="auto"/>
              <w:ind w:left="0" w:right="0" w:firstLine="0"/>
              <w:jc w:val="left"/>
              <w:rPr/>
            </w:pPr>
            <w:r w:rsidDel="00000000" w:rsidR="00000000" w:rsidRPr="00000000">
              <w:rPr>
                <w:sz w:val="18"/>
                <w:szCs w:val="18"/>
                <w:rtl w:val="0"/>
              </w:rPr>
              <w:t xml:space="preserve">18 registros contextuales; indicadores futuros de compra, contribución, materiales, acceso y gobernanza.</w:t>
            </w:r>
            <w:r w:rsidDel="00000000" w:rsidR="00000000" w:rsidRPr="00000000">
              <w:rPr>
                <w:rtl w:val="0"/>
              </w:rPr>
            </w:r>
          </w:p>
        </w:tc>
      </w:tr>
      <w:tr>
        <w:trPr>
          <w:cantSplit w:val="1"/>
          <w:trHeight w:val="840" w:hRule="atLeast"/>
          <w:tblHeader w:val="0"/>
        </w:trPr>
        <w:tc>
          <w:tcPr>
            <w:tcBorders>
              <w:right w:color="000000" w:space="0" w:sz="0" w:val="nil"/>
            </w:tcBorders>
            <w:vAlign w:val="center"/>
          </w:tcPr>
          <w:p w:rsidR="00000000" w:rsidDel="00000000" w:rsidP="00000000" w:rsidRDefault="00000000" w:rsidRPr="00000000" w14:paraId="000000E4">
            <w:pPr>
              <w:spacing w:after="0" w:line="240" w:lineRule="auto"/>
              <w:ind w:left="0" w:right="0" w:firstLine="0"/>
              <w:jc w:val="left"/>
              <w:rPr/>
            </w:pPr>
            <w:r w:rsidDel="00000000" w:rsidR="00000000" w:rsidRPr="00000000">
              <w:rPr>
                <w:sz w:val="18"/>
                <w:szCs w:val="18"/>
                <w:rtl w:val="0"/>
              </w:rPr>
              <w:t xml:space="preserve">10</w:t>
            </w: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E5">
            <w:pPr>
              <w:spacing w:after="0" w:line="240" w:lineRule="auto"/>
              <w:ind w:left="0" w:right="0" w:firstLine="0"/>
              <w:jc w:val="left"/>
              <w:rPr/>
            </w:pPr>
            <w:r w:rsidDel="00000000" w:rsidR="00000000" w:rsidRPr="00000000">
              <w:rPr>
                <w:sz w:val="18"/>
                <w:szCs w:val="18"/>
                <w:rtl w:val="0"/>
              </w:rPr>
              <w:t xml:space="preserve">Fuentes</w:t>
            </w:r>
            <w:r w:rsidDel="00000000" w:rsidR="00000000" w:rsidRPr="00000000">
              <w:rPr>
                <w:rtl w:val="0"/>
              </w:rPr>
            </w:r>
          </w:p>
        </w:tc>
        <w:tc>
          <w:tcPr>
            <w:vAlign w:val="center"/>
          </w:tcPr>
          <w:p w:rsidR="00000000" w:rsidDel="00000000" w:rsidP="00000000" w:rsidRDefault="00000000" w:rsidRPr="00000000" w14:paraId="000000E6">
            <w:pPr>
              <w:spacing w:after="0" w:line="240" w:lineRule="auto"/>
              <w:ind w:left="0" w:right="0" w:firstLine="0"/>
              <w:jc w:val="left"/>
              <w:rPr/>
            </w:pPr>
            <w:r w:rsidDel="00000000" w:rsidR="00000000" w:rsidRPr="00000000">
              <w:rPr>
                <w:b w:val="1"/>
                <w:bCs w:val="1"/>
                <w:sz w:val="18"/>
                <w:szCs w:val="18"/>
                <w:rtl w:val="0"/>
              </w:rPr>
              <w:t xml:space="preserve">U1, N1, S1 y M1 </w:t>
            </w:r>
            <w:r w:rsidDel="00000000" w:rsidR="00000000" w:rsidRPr="00000000">
              <w:rPr>
                <w:sz w:val="18"/>
                <w:szCs w:val="18"/>
                <w:rtl w:val="0"/>
              </w:rPr>
              <w:t xml:space="preserve">como contexto</w:t>
            </w:r>
            <w:r w:rsidDel="00000000" w:rsidR="00000000" w:rsidRPr="00000000">
              <w:rPr>
                <w:b w:val="1"/>
                <w:bCs w:val="1"/>
                <w:sz w:val="18"/>
                <w:szCs w:val="18"/>
                <w:rtl w:val="0"/>
              </w:rPr>
              <w:t xml:space="preserve">; R1-R5 </w:t>
            </w:r>
            <w:r w:rsidDel="00000000" w:rsidR="00000000" w:rsidRPr="00000000">
              <w:rPr>
                <w:sz w:val="18"/>
                <w:szCs w:val="18"/>
                <w:rtl w:val="0"/>
              </w:rPr>
              <w:t xml:space="preserve">para marco regulatorio y metodológico. No verifican por sí solos el puntaje.</w:t>
            </w:r>
            <w:r w:rsidDel="00000000" w:rsidR="00000000" w:rsidRPr="00000000">
              <w:rPr>
                <w:rtl w:val="0"/>
              </w:rPr>
            </w:r>
          </w:p>
        </w:tc>
      </w:tr>
      <w:tr>
        <w:trPr>
          <w:cantSplit w:val="1"/>
          <w:trHeight w:val="840" w:hRule="atLeast"/>
          <w:tblHeader w:val="0"/>
        </w:trPr>
        <w:tc>
          <w:tcPr>
            <w:tcBorders>
              <w:right w:color="000000" w:space="0" w:sz="0" w:val="nil"/>
            </w:tcBorders>
            <w:vAlign w:val="center"/>
          </w:tcPr>
          <w:p w:rsidR="00000000" w:rsidDel="00000000" w:rsidP="00000000" w:rsidRDefault="00000000" w:rsidRPr="00000000" w14:paraId="000000E7">
            <w:pPr>
              <w:spacing w:after="0" w:line="240" w:lineRule="auto"/>
              <w:ind w:left="0" w:right="0" w:firstLine="0"/>
              <w:jc w:val="left"/>
              <w:rPr/>
            </w:pPr>
            <w:r w:rsidDel="00000000" w:rsidR="00000000" w:rsidRPr="00000000">
              <w:rPr>
                <w:sz w:val="18"/>
                <w:szCs w:val="18"/>
                <w:rtl w:val="0"/>
              </w:rPr>
              <w:t xml:space="preserve">11</w:t>
            </w: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E8">
            <w:pPr>
              <w:spacing w:after="0" w:line="240" w:lineRule="auto"/>
              <w:ind w:left="0" w:right="0" w:firstLine="0"/>
              <w:jc w:val="left"/>
              <w:rPr/>
            </w:pPr>
            <w:r w:rsidDel="00000000" w:rsidR="00000000" w:rsidRPr="00000000">
              <w:rPr>
                <w:sz w:val="18"/>
                <w:szCs w:val="18"/>
                <w:rtl w:val="0"/>
              </w:rPr>
              <w:t xml:space="preserve">Límites y act.</w:t>
            </w:r>
            <w:r w:rsidDel="00000000" w:rsidR="00000000" w:rsidRPr="00000000">
              <w:rPr>
                <w:rtl w:val="0"/>
              </w:rPr>
            </w:r>
          </w:p>
        </w:tc>
        <w:tc>
          <w:tcPr>
            <w:vAlign w:val="center"/>
          </w:tcPr>
          <w:p w:rsidR="00000000" w:rsidDel="00000000" w:rsidP="00000000" w:rsidRDefault="00000000" w:rsidRPr="00000000" w14:paraId="000000E9">
            <w:pPr>
              <w:spacing w:after="0" w:line="240" w:lineRule="auto"/>
              <w:ind w:left="0" w:right="0" w:firstLine="0"/>
              <w:jc w:val="left"/>
              <w:rPr/>
            </w:pPr>
            <w:r w:rsidDel="00000000" w:rsidR="00000000" w:rsidRPr="00000000">
              <w:rPr>
                <w:sz w:val="18"/>
                <w:szCs w:val="18"/>
                <w:rtl w:val="0"/>
              </w:rPr>
              <w:t xml:space="preserve">Sin piloto ni calibración del índice; contraste causal independiente ausente. Integración editorial actualizada el 28 de octubre de 2026.</w:t>
            </w:r>
            <w:r w:rsidDel="00000000" w:rsidR="00000000" w:rsidRPr="00000000">
              <w:rPr>
                <w:rtl w:val="0"/>
              </w:rPr>
            </w:r>
          </w:p>
        </w:tc>
      </w:tr>
      <w:tr>
        <w:trPr>
          <w:cantSplit w:val="1"/>
          <w:trHeight w:val="840" w:hRule="atLeast"/>
          <w:tblHeader w:val="0"/>
        </w:trPr>
        <w:tc>
          <w:tcPr>
            <w:tcBorders>
              <w:right w:color="000000" w:space="0" w:sz="0" w:val="nil"/>
            </w:tcBorders>
            <w:vAlign w:val="center"/>
          </w:tcPr>
          <w:p w:rsidR="00000000" w:rsidDel="00000000" w:rsidP="00000000" w:rsidRDefault="00000000" w:rsidRPr="00000000" w14:paraId="000000EA">
            <w:pPr>
              <w:spacing w:after="0" w:line="240" w:lineRule="auto"/>
              <w:ind w:left="0" w:firstLine="0"/>
              <w:jc w:val="left"/>
              <w:rPr/>
            </w:pPr>
            <w:r w:rsidDel="00000000" w:rsidR="00000000" w:rsidRPr="00000000">
              <w:rPr>
                <w:sz w:val="18"/>
                <w:szCs w:val="18"/>
                <w:rtl w:val="0"/>
              </w:rPr>
              <w:t xml:space="preserve">12</w:t>
            </w: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EB">
            <w:pPr>
              <w:spacing w:after="0" w:line="240" w:lineRule="auto"/>
              <w:ind w:left="0" w:firstLine="0"/>
              <w:jc w:val="left"/>
              <w:rPr/>
            </w:pPr>
            <w:r w:rsidDel="00000000" w:rsidR="00000000" w:rsidRPr="00000000">
              <w:rPr>
                <w:sz w:val="18"/>
                <w:szCs w:val="18"/>
                <w:vertAlign w:val="baseline"/>
                <w:rtl w:val="0"/>
              </w:rPr>
              <w:t xml:space="preserve">Relacionado</w:t>
            </w:r>
            <w:r w:rsidDel="00000000" w:rsidR="00000000" w:rsidRPr="00000000">
              <w:rPr>
                <w:rtl w:val="0"/>
              </w:rPr>
            </w:r>
          </w:p>
        </w:tc>
        <w:tc>
          <w:tcPr>
            <w:vAlign w:val="center"/>
          </w:tcPr>
          <w:p w:rsidR="00000000" w:rsidDel="00000000" w:rsidP="00000000" w:rsidRDefault="00000000" w:rsidRPr="00000000" w14:paraId="000000EC">
            <w:pPr>
              <w:spacing w:after="0" w:line="240" w:lineRule="auto"/>
              <w:ind w:left="0" w:firstLine="0"/>
              <w:jc w:val="left"/>
              <w:rPr/>
            </w:pPr>
            <w:r w:rsidDel="00000000" w:rsidR="00000000" w:rsidRPr="00000000">
              <w:rPr>
                <w:sz w:val="18"/>
                <w:szCs w:val="18"/>
                <w:vertAlign w:val="baseline"/>
                <w:rtl w:val="0"/>
              </w:rPr>
              <w:t xml:space="preserve">Publicaciones de Tiempos Sustentables sobre circularidad, doble materialidad, recepción estratégica y Arquitectura de Valor.</w:t>
            </w:r>
            <w:r w:rsidDel="00000000" w:rsidR="00000000" w:rsidRPr="00000000">
              <w:rPr>
                <w:rtl w:val="0"/>
              </w:rPr>
            </w:r>
          </w:p>
        </w:tc>
      </w:tr>
    </w:tbl>
    <w:p w:rsidR="00000000" w:rsidDel="00000000" w:rsidP="00000000" w:rsidRDefault="00000000" w:rsidRPr="00000000" w14:paraId="000000ED">
      <w:pPr>
        <w:pStyle w:val="Heading2"/>
        <w:widowControl w:val="0"/>
        <w:ind w:left="0" w:firstLine="0"/>
        <w:rPr>
          <w:vertAlign w:val="baseline"/>
        </w:rPr>
      </w:pPr>
      <w:bookmarkStart w:colFirst="0" w:colLast="0" w:name="_7t8xlstjyidv" w:id="14"/>
      <w:bookmarkEnd w:id="14"/>
      <w:r w:rsidDel="00000000" w:rsidR="00000000" w:rsidRPr="00000000">
        <w:rPr>
          <w:rtl w:val="0"/>
        </w:rPr>
        <w:t xml:space="preserve">CÁLCULO E INTERPRETACIÓN</w:t>
      </w:r>
      <w:r w:rsidDel="00000000" w:rsidR="00000000" w:rsidRPr="00000000">
        <w:rPr>
          <w:rtl w:val="0"/>
        </w:rPr>
      </w:r>
    </w:p>
    <w:tbl>
      <w:tblPr>
        <w:tblStyle w:val="Table7"/>
        <w:tblW w:w="9870.0" w:type="dxa"/>
        <w:jc w:val="left"/>
        <w:tblInd w:w="10.746154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7.5"/>
        <w:gridCol w:w="2467.5"/>
        <w:gridCol w:w="2467.5"/>
        <w:gridCol w:w="2467.5"/>
        <w:tblGridChange w:id="0">
          <w:tblGrid>
            <w:gridCol w:w="2467.5"/>
            <w:gridCol w:w="2467.5"/>
            <w:gridCol w:w="2467.5"/>
            <w:gridCol w:w="2467.5"/>
          </w:tblGrid>
        </w:tblGridChange>
      </w:tblGrid>
      <w:tr>
        <w:trPr>
          <w:cantSplit w:val="0"/>
          <w:trHeight w:val="420" w:hRule="atLeast"/>
          <w:tblHeader w:val="0"/>
        </w:trPr>
        <w:tc>
          <w:tcPr>
            <w:shd w:fill="1a4a75" w:val="clear"/>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ind w:left="0" w:firstLine="0"/>
              <w:rPr>
                <w:color w:val="ffffff"/>
                <w:sz w:val="18"/>
                <w:szCs w:val="18"/>
                <w:vertAlign w:val="baseline"/>
              </w:rPr>
            </w:pPr>
            <w:r w:rsidDel="00000000" w:rsidR="00000000" w:rsidRPr="00000000">
              <w:rPr>
                <w:color w:val="ffffff"/>
                <w:sz w:val="18"/>
                <w:szCs w:val="18"/>
                <w:vertAlign w:val="baseline"/>
                <w:rtl w:val="0"/>
              </w:rPr>
              <w:t xml:space="preserve">COMPONENTE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ind w:left="0" w:firstLine="0"/>
              <w:rPr>
                <w:color w:val="ffffff"/>
                <w:sz w:val="18"/>
                <w:szCs w:val="18"/>
                <w:vertAlign w:val="baseline"/>
              </w:rPr>
            </w:pPr>
            <w:r w:rsidDel="00000000" w:rsidR="00000000" w:rsidRPr="00000000">
              <w:rPr>
                <w:color w:val="ffffff"/>
                <w:sz w:val="18"/>
                <w:szCs w:val="18"/>
                <w:vertAlign w:val="baseline"/>
                <w:rtl w:val="0"/>
              </w:rPr>
              <w:t xml:space="preserve">PUNTAJE HEREDADO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ind w:left="0" w:firstLine="0"/>
              <w:rPr>
                <w:color w:val="ffffff"/>
                <w:sz w:val="18"/>
                <w:szCs w:val="18"/>
                <w:vertAlign w:val="baseline"/>
              </w:rPr>
            </w:pPr>
            <w:r w:rsidDel="00000000" w:rsidR="00000000" w:rsidRPr="00000000">
              <w:rPr>
                <w:color w:val="ffffff"/>
                <w:sz w:val="18"/>
                <w:szCs w:val="18"/>
                <w:vertAlign w:val="baseline"/>
                <w:rtl w:val="0"/>
              </w:rPr>
              <w:t xml:space="preserve">PESO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ind w:left="0" w:firstLine="0"/>
              <w:rPr>
                <w:color w:val="ffffff"/>
                <w:sz w:val="18"/>
                <w:szCs w:val="18"/>
                <w:vertAlign w:val="baseline"/>
              </w:rPr>
            </w:pPr>
            <w:r w:rsidDel="00000000" w:rsidR="00000000" w:rsidRPr="00000000">
              <w:rPr>
                <w:color w:val="ffffff"/>
                <w:sz w:val="18"/>
                <w:szCs w:val="18"/>
                <w:vertAlign w:val="baseline"/>
                <w:rtl w:val="0"/>
              </w:rPr>
              <w:t xml:space="preserve">APORTE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ind w:left="0" w:firstLine="0"/>
              <w:rPr>
                <w:sz w:val="18"/>
                <w:szCs w:val="18"/>
                <w:vertAlign w:val="baseline"/>
              </w:rPr>
            </w:pPr>
            <w:r w:rsidDel="00000000" w:rsidR="00000000" w:rsidRPr="00000000">
              <w:rPr>
                <w:sz w:val="18"/>
                <w:szCs w:val="18"/>
                <w:vertAlign w:val="baseline"/>
                <w:rtl w:val="0"/>
              </w:rPr>
              <w:t xml:space="preserve">Impulso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ind w:left="0" w:firstLine="0"/>
              <w:rPr>
                <w:sz w:val="18"/>
                <w:szCs w:val="18"/>
                <w:vertAlign w:val="baseline"/>
              </w:rPr>
            </w:pPr>
            <w:r w:rsidDel="00000000" w:rsidR="00000000" w:rsidRPr="00000000">
              <w:rPr>
                <w:sz w:val="18"/>
                <w:szCs w:val="18"/>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ind w:left="0" w:firstLine="0"/>
              <w:rPr>
                <w:sz w:val="18"/>
                <w:szCs w:val="18"/>
                <w:vertAlign w:val="baseline"/>
              </w:rPr>
            </w:pPr>
            <w:r w:rsidDel="00000000" w:rsidR="00000000" w:rsidRPr="00000000">
              <w:rPr>
                <w:sz w:val="18"/>
                <w:szCs w:val="18"/>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ind w:left="0" w:firstLine="0"/>
              <w:rPr>
                <w:sz w:val="18"/>
                <w:szCs w:val="18"/>
                <w:vertAlign w:val="baseline"/>
              </w:rPr>
            </w:pPr>
            <w:r w:rsidDel="00000000" w:rsidR="00000000" w:rsidRPr="00000000">
              <w:rPr>
                <w:sz w:val="18"/>
                <w:szCs w:val="18"/>
                <w:vertAlign w:val="baseline"/>
                <w:rtl w:val="0"/>
              </w:rPr>
              <w:t xml:space="preserve">20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ind w:left="0" w:firstLine="0"/>
              <w:rPr>
                <w:sz w:val="18"/>
                <w:szCs w:val="18"/>
                <w:vertAlign w:val="baseline"/>
              </w:rPr>
            </w:pPr>
            <w:r w:rsidDel="00000000" w:rsidR="00000000" w:rsidRPr="00000000">
              <w:rPr>
                <w:sz w:val="18"/>
                <w:szCs w:val="18"/>
                <w:vertAlign w:val="baseline"/>
                <w:rtl w:val="0"/>
              </w:rPr>
              <w:t xml:space="preserve">Materialidad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ind w:left="0" w:firstLine="0"/>
              <w:rPr>
                <w:sz w:val="18"/>
                <w:szCs w:val="18"/>
                <w:vertAlign w:val="baseline"/>
              </w:rPr>
            </w:pPr>
            <w:r w:rsidDel="00000000" w:rsidR="00000000" w:rsidRPr="00000000">
              <w:rPr>
                <w:sz w:val="18"/>
                <w:szCs w:val="18"/>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ind w:left="0" w:firstLine="0"/>
              <w:rPr>
                <w:sz w:val="18"/>
                <w:szCs w:val="18"/>
                <w:vertAlign w:val="baseline"/>
              </w:rPr>
            </w:pPr>
            <w:r w:rsidDel="00000000" w:rsidR="00000000" w:rsidRPr="00000000">
              <w:rPr>
                <w:sz w:val="18"/>
                <w:szCs w:val="18"/>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ind w:left="0" w:firstLine="0"/>
              <w:rPr>
                <w:sz w:val="18"/>
                <w:szCs w:val="18"/>
                <w:vertAlign w:val="baseline"/>
              </w:rPr>
            </w:pPr>
            <w:r w:rsidDel="00000000" w:rsidR="00000000" w:rsidRPr="00000000">
              <w:rPr>
                <w:sz w:val="18"/>
                <w:szCs w:val="18"/>
                <w:vertAlign w:val="baseline"/>
                <w:rtl w:val="0"/>
              </w:rPr>
              <w:t xml:space="preserve">20,5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ind w:left="0" w:firstLine="0"/>
              <w:rPr>
                <w:sz w:val="18"/>
                <w:szCs w:val="18"/>
                <w:vertAlign w:val="baseline"/>
              </w:rPr>
            </w:pPr>
            <w:r w:rsidDel="00000000" w:rsidR="00000000" w:rsidRPr="00000000">
              <w:rPr>
                <w:sz w:val="18"/>
                <w:szCs w:val="18"/>
                <w:vertAlign w:val="baseline"/>
                <w:rtl w:val="0"/>
              </w:rPr>
              <w:t xml:space="preserve">Evidencia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ind w:left="0" w:firstLine="0"/>
              <w:rPr>
                <w:sz w:val="18"/>
                <w:szCs w:val="18"/>
                <w:vertAlign w:val="baseline"/>
              </w:rPr>
            </w:pPr>
            <w:r w:rsidDel="00000000" w:rsidR="00000000" w:rsidRPr="00000000">
              <w:rPr>
                <w:sz w:val="18"/>
                <w:szCs w:val="18"/>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ind w:left="0" w:firstLine="0"/>
              <w:rPr>
                <w:sz w:val="18"/>
                <w:szCs w:val="18"/>
                <w:vertAlign w:val="baseline"/>
              </w:rPr>
            </w:pPr>
            <w:r w:rsidDel="00000000" w:rsidR="00000000" w:rsidRPr="00000000">
              <w:rPr>
                <w:sz w:val="18"/>
                <w:szCs w:val="18"/>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ind w:left="0" w:firstLine="0"/>
              <w:rPr>
                <w:sz w:val="18"/>
                <w:szCs w:val="18"/>
                <w:vertAlign w:val="baseline"/>
              </w:rPr>
            </w:pPr>
            <w:r w:rsidDel="00000000" w:rsidR="00000000" w:rsidRPr="00000000">
              <w:rPr>
                <w:sz w:val="18"/>
                <w:szCs w:val="18"/>
                <w:vertAlign w:val="baseline"/>
                <w:rtl w:val="0"/>
              </w:rPr>
              <w:t xml:space="preserve">14,4</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ind w:left="0" w:firstLine="0"/>
              <w:rPr>
                <w:sz w:val="18"/>
                <w:szCs w:val="18"/>
                <w:vertAlign w:val="baseline"/>
              </w:rPr>
            </w:pPr>
            <w:r w:rsidDel="00000000" w:rsidR="00000000" w:rsidRPr="00000000">
              <w:rPr>
                <w:sz w:val="18"/>
                <w:szCs w:val="18"/>
                <w:vertAlign w:val="baseline"/>
                <w:rtl w:val="0"/>
              </w:rPr>
              <w:t xml:space="preserve">Urgencia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ind w:left="0" w:firstLine="0"/>
              <w:rPr>
                <w:sz w:val="18"/>
                <w:szCs w:val="18"/>
                <w:vertAlign w:val="baseline"/>
              </w:rPr>
            </w:pPr>
            <w:r w:rsidDel="00000000" w:rsidR="00000000" w:rsidRPr="00000000">
              <w:rPr>
                <w:sz w:val="18"/>
                <w:szCs w:val="18"/>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ind w:left="0" w:firstLine="0"/>
              <w:rPr>
                <w:sz w:val="18"/>
                <w:szCs w:val="18"/>
                <w:vertAlign w:val="baseline"/>
              </w:rPr>
            </w:pPr>
            <w:r w:rsidDel="00000000" w:rsidR="00000000" w:rsidRPr="00000000">
              <w:rPr>
                <w:sz w:val="18"/>
                <w:szCs w:val="18"/>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ind w:left="0" w:firstLine="0"/>
              <w:rPr>
                <w:sz w:val="18"/>
                <w:szCs w:val="18"/>
                <w:vertAlign w:val="baseline"/>
              </w:rPr>
            </w:pPr>
            <w:r w:rsidDel="00000000" w:rsidR="00000000" w:rsidRPr="00000000">
              <w:rPr>
                <w:sz w:val="18"/>
                <w:szCs w:val="18"/>
                <w:vertAlign w:val="baseline"/>
                <w:rtl w:val="0"/>
              </w:rPr>
              <w:t xml:space="preserve">10,2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ind w:left="0" w:firstLine="0"/>
              <w:rPr>
                <w:sz w:val="18"/>
                <w:szCs w:val="18"/>
                <w:vertAlign w:val="baseline"/>
              </w:rPr>
            </w:pPr>
            <w:r w:rsidDel="00000000" w:rsidR="00000000" w:rsidRPr="00000000">
              <w:rPr>
                <w:sz w:val="18"/>
                <w:szCs w:val="18"/>
                <w:vertAlign w:val="baseline"/>
                <w:rtl w:val="0"/>
              </w:rPr>
              <w:t xml:space="preserve">Relevancia LATAM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ind w:left="0" w:firstLine="0"/>
              <w:rPr>
                <w:sz w:val="18"/>
                <w:szCs w:val="18"/>
                <w:vertAlign w:val="baseline"/>
              </w:rPr>
            </w:pPr>
            <w:r w:rsidDel="00000000" w:rsidR="00000000" w:rsidRPr="00000000">
              <w:rPr>
                <w:sz w:val="18"/>
                <w:szCs w:val="18"/>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ind w:left="0" w:firstLine="0"/>
              <w:rPr>
                <w:sz w:val="18"/>
                <w:szCs w:val="18"/>
                <w:vertAlign w:val="baseline"/>
              </w:rPr>
            </w:pPr>
            <w:r w:rsidDel="00000000" w:rsidR="00000000" w:rsidRPr="00000000">
              <w:rPr>
                <w:sz w:val="18"/>
                <w:szCs w:val="18"/>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ind w:left="0" w:firstLine="0"/>
              <w:rPr>
                <w:sz w:val="18"/>
                <w:szCs w:val="18"/>
                <w:vertAlign w:val="baseline"/>
              </w:rPr>
            </w:pPr>
            <w:r w:rsidDel="00000000" w:rsidR="00000000" w:rsidRPr="00000000">
              <w:rPr>
                <w:sz w:val="18"/>
                <w:szCs w:val="18"/>
                <w:vertAlign w:val="baseline"/>
                <w:rtl w:val="0"/>
              </w:rPr>
              <w:t xml:space="preserve">10,5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ind w:left="0" w:firstLine="0"/>
              <w:rPr>
                <w:b w:val="1"/>
                <w:bCs w:val="1"/>
                <w:sz w:val="18"/>
                <w:szCs w:val="18"/>
                <w:vertAlign w:val="baseline"/>
              </w:rPr>
            </w:pPr>
            <w:r w:rsidDel="00000000" w:rsidR="00000000" w:rsidRPr="00000000">
              <w:rPr>
                <w:b w:val="1"/>
                <w:bCs w:val="1"/>
                <w:sz w:val="18"/>
                <w:szCs w:val="18"/>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ind w:left="0" w:firstLine="0"/>
              <w:rPr>
                <w:b w:val="1"/>
                <w:bCs w:val="1"/>
                <w:sz w:val="18"/>
                <w:szCs w:val="18"/>
                <w:vertAlign w:val="baseline"/>
              </w:rPr>
            </w:pPr>
            <w:r w:rsidDel="00000000" w:rsidR="00000000" w:rsidRPr="00000000">
              <w:rPr>
                <w:b w:val="1"/>
                <w:bCs w:val="1"/>
                <w:sz w:val="18"/>
                <w:szCs w:val="18"/>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ind w:left="0" w:firstLine="0"/>
              <w:rPr>
                <w:b w:val="1"/>
                <w:bCs w:val="1"/>
                <w:sz w:val="18"/>
                <w:szCs w:val="18"/>
                <w:vertAlign w:val="baseline"/>
              </w:rPr>
            </w:pPr>
            <w:r w:rsidDel="00000000" w:rsidR="00000000" w:rsidRPr="00000000">
              <w:rPr>
                <w:b w:val="1"/>
                <w:bCs w:val="1"/>
                <w:sz w:val="18"/>
                <w:szCs w:val="18"/>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ind w:left="0" w:firstLine="0"/>
              <w:rPr>
                <w:b w:val="1"/>
                <w:bCs w:val="1"/>
                <w:sz w:val="18"/>
                <w:szCs w:val="18"/>
                <w:vertAlign w:val="baseline"/>
              </w:rPr>
            </w:pPr>
            <w:r w:rsidDel="00000000" w:rsidR="00000000" w:rsidRPr="00000000">
              <w:rPr>
                <w:b w:val="1"/>
                <w:bCs w:val="1"/>
                <w:sz w:val="18"/>
                <w:szCs w:val="18"/>
                <w:vertAlign w:val="baseline"/>
                <w:rtl w:val="0"/>
              </w:rPr>
              <w:t xml:space="preserve">75,6/100</w:t>
            </w:r>
          </w:p>
        </w:tc>
      </w:tr>
    </w:tbl>
    <w:p w:rsidR="00000000" w:rsidDel="00000000" w:rsidP="00000000" w:rsidRDefault="00000000" w:rsidRPr="00000000" w14:paraId="0000010A">
      <w:pPr>
        <w:spacing w:before="400" w:line="268.8" w:lineRule="auto"/>
        <w:rPr>
          <w:vertAlign w:val="baseline"/>
        </w:rPr>
      </w:pPr>
      <w:r w:rsidDel="00000000" w:rsidR="00000000" w:rsidRPr="00000000">
        <w:rPr>
          <w:vertAlign w:val="baseline"/>
          <w:rtl w:val="0"/>
        </w:rPr>
        <w:t xml:space="preserve">El 74/100 anterior era un error aritmético. Manteniendo los componentes y ponderaciones, la suma es 75,6; el entero más cercano es 76 y la clasificación sigue siendo Alto. Esta corrección no valida las puntuaciones: faltan rúbrica, ventana de observación y calibración reproducibles. No es probabilidad de pérdida, ranking de empresas, puntuación de cumplimiento ni indicador experimental. </w:t>
      </w:r>
    </w:p>
    <w:p w:rsidR="00000000" w:rsidDel="00000000" w:rsidP="00000000" w:rsidRDefault="00000000" w:rsidRPr="00000000" w14:paraId="0000010B">
      <w:pPr>
        <w:rPr>
          <w:vertAlign w:val="baseline"/>
        </w:rPr>
      </w:pPr>
      <w:r w:rsidDel="00000000" w:rsidR="00000000" w:rsidRPr="00000000">
        <w:rPr>
          <w:vertAlign w:val="baseline"/>
          <w:rtl w:val="0"/>
        </w:rPr>
        <w:t xml:space="preserve">Los horizontes de 30, 90 y 180 días son un plan propuesto de preparación, no vencimientos regulatorios universales. El nivel Alto no obliga a implementar un producto sin homologación: exige priorizar la comprobación de sus supuestos. </w:t>
      </w:r>
    </w:p>
    <w:p w:rsidR="00000000" w:rsidDel="00000000" w:rsidP="00000000" w:rsidRDefault="00000000" w:rsidRPr="00000000" w14:paraId="0000010C">
      <w:pPr>
        <w:pStyle w:val="Heading1"/>
        <w:spacing w:before="600" w:lineRule="auto"/>
        <w:rPr>
          <w:vertAlign w:val="baseline"/>
        </w:rPr>
      </w:pPr>
      <w:bookmarkStart w:colFirst="0" w:colLast="0" w:name="_2xtx1ot5gr5q" w:id="15"/>
      <w:bookmarkEnd w:id="15"/>
      <w:r w:rsidDel="00000000" w:rsidR="00000000" w:rsidRPr="00000000">
        <w:rPr>
          <w:vertAlign w:val="baseline"/>
          <w:rtl w:val="0"/>
        </w:rPr>
        <w:t xml:space="preserve">6. AV-EXP-</w:t>
      </w:r>
      <w:r w:rsidDel="00000000" w:rsidR="00000000" w:rsidRPr="00000000">
        <w:rPr>
          <w:rtl w:val="0"/>
        </w:rPr>
        <w:t xml:space="preserve">01: UN MÓDULO DE EVALUACIÓN DENTRO DEL ECOSISTEMA </w:t>
      </w:r>
      <w:r w:rsidDel="00000000" w:rsidR="00000000" w:rsidRPr="00000000">
        <w:rPr>
          <w:rtl w:val="0"/>
        </w:rPr>
      </w:r>
    </w:p>
    <w:p w:rsidR="00000000" w:rsidDel="00000000" w:rsidP="00000000" w:rsidRDefault="00000000" w:rsidRPr="00000000" w14:paraId="0000010D">
      <w:pPr>
        <w:rPr>
          <w:vertAlign w:val="baseline"/>
        </w:rPr>
      </w:pPr>
      <w:r w:rsidDel="00000000" w:rsidR="00000000" w:rsidRPr="00000000">
        <w:rPr>
          <w:vertAlign w:val="baseline"/>
          <w:rtl w:val="0"/>
        </w:rPr>
        <w:t xml:space="preserve">El Radar plantea preguntas prioritarias; AV-EXP-01 propone cómo contrastar una de ellas. No se usa un experimento futuro para certificar la herramienta completa. El caso inicial es un SKU de consumo masivo en Chile; empresa, canal, material, tamaño, porcentaje PCR y calendario deben definirse tras pruebas de función, seguridad y suministro. </w:t>
      </w:r>
    </w:p>
    <w:tbl>
      <w:tblPr>
        <w:tblStyle w:val="Table8"/>
        <w:tblW w:w="9870.0" w:type="dxa"/>
        <w:jc w:val="left"/>
        <w:tblInd w:w="10.746154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3480"/>
        <w:gridCol w:w="5475"/>
        <w:tblGridChange w:id="0">
          <w:tblGrid>
            <w:gridCol w:w="915"/>
            <w:gridCol w:w="3480"/>
            <w:gridCol w:w="5475"/>
          </w:tblGrid>
        </w:tblGridChange>
      </w:tblGrid>
      <w:tr>
        <w:trPr>
          <w:cantSplit w:val="0"/>
          <w:trHeight w:val="405" w:hRule="atLeast"/>
          <w:tblHeader w:val="0"/>
        </w:trPr>
        <w:tc>
          <w:tcPr>
            <w:shd w:fill="1a4a75" w:val="clear"/>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ind w:left="0" w:firstLine="0"/>
              <w:rPr>
                <w:color w:val="ffffff"/>
                <w:sz w:val="18"/>
                <w:szCs w:val="18"/>
                <w:vertAlign w:val="baseline"/>
              </w:rPr>
            </w:pPr>
            <w:r w:rsidDel="00000000" w:rsidR="00000000" w:rsidRPr="00000000">
              <w:rPr>
                <w:color w:val="ffffff"/>
                <w:sz w:val="18"/>
                <w:szCs w:val="18"/>
                <w:vertAlign w:val="baseline"/>
                <w:rtl w:val="0"/>
              </w:rPr>
              <w:t xml:space="preserve">BRAZO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ind w:left="0" w:firstLine="0"/>
              <w:rPr>
                <w:color w:val="ffffff"/>
                <w:sz w:val="18"/>
                <w:szCs w:val="18"/>
                <w:vertAlign w:val="baseline"/>
              </w:rPr>
            </w:pPr>
            <w:r w:rsidDel="00000000" w:rsidR="00000000" w:rsidRPr="00000000">
              <w:rPr>
                <w:color w:val="ffffff"/>
                <w:sz w:val="18"/>
                <w:szCs w:val="18"/>
                <w:vertAlign w:val="baseline"/>
                <w:rtl w:val="0"/>
              </w:rPr>
              <w:t xml:space="preserve">ENVASE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ind w:left="0" w:firstLine="0"/>
              <w:rPr>
                <w:color w:val="ffffff"/>
                <w:sz w:val="18"/>
                <w:szCs w:val="18"/>
                <w:vertAlign w:val="baseline"/>
              </w:rPr>
            </w:pPr>
            <w:r w:rsidDel="00000000" w:rsidR="00000000" w:rsidRPr="00000000">
              <w:rPr>
                <w:color w:val="ffffff"/>
                <w:sz w:val="18"/>
                <w:szCs w:val="18"/>
                <w:vertAlign w:val="baseline"/>
                <w:rtl w:val="0"/>
              </w:rPr>
              <w:t xml:space="preserve">INFORMACIÓN</w:t>
            </w:r>
          </w:p>
        </w:tc>
      </w:tr>
      <w:tr>
        <w:trPr>
          <w:cantSplit w:val="0"/>
          <w:trHeight w:val="660" w:hRule="atLeast"/>
          <w:tblHeader w:val="0"/>
        </w:trPr>
        <w:tc>
          <w:tcPr>
            <w:vAlign w:val="center"/>
          </w:tcPr>
          <w:p w:rsidR="00000000" w:rsidDel="00000000" w:rsidP="00000000" w:rsidRDefault="00000000" w:rsidRPr="00000000" w14:paraId="00000111">
            <w:pPr>
              <w:spacing w:after="0" w:line="240" w:lineRule="auto"/>
              <w:ind w:left="0" w:firstLine="0"/>
              <w:rPr>
                <w:sz w:val="18"/>
                <w:szCs w:val="18"/>
              </w:rPr>
            </w:pPr>
            <w:r w:rsidDel="00000000" w:rsidR="00000000" w:rsidRPr="00000000">
              <w:rPr>
                <w:sz w:val="18"/>
                <w:szCs w:val="18"/>
                <w:rtl w:val="0"/>
              </w:rPr>
              <w:t xml:space="preserve">T0</w:t>
            </w:r>
          </w:p>
        </w:tc>
        <w:tc>
          <w:tcPr>
            <w:vAlign w:val="center"/>
          </w:tcPr>
          <w:p w:rsidR="00000000" w:rsidDel="00000000" w:rsidP="00000000" w:rsidRDefault="00000000" w:rsidRPr="00000000" w14:paraId="00000112">
            <w:pPr>
              <w:spacing w:after="0" w:line="240" w:lineRule="auto"/>
              <w:ind w:left="0" w:firstLine="0"/>
              <w:rPr>
                <w:sz w:val="18"/>
                <w:szCs w:val="18"/>
              </w:rPr>
            </w:pPr>
            <w:r w:rsidDel="00000000" w:rsidR="00000000" w:rsidRPr="00000000">
              <w:rPr>
                <w:sz w:val="18"/>
                <w:szCs w:val="18"/>
                <w:rtl w:val="0"/>
              </w:rPr>
              <w:t xml:space="preserve">Referencia actual documentada, con o sin PCR.</w:t>
            </w:r>
          </w:p>
        </w:tc>
        <w:tc>
          <w:tcPr>
            <w:vAlign w:val="center"/>
          </w:tcPr>
          <w:p w:rsidR="00000000" w:rsidDel="00000000" w:rsidP="00000000" w:rsidRDefault="00000000" w:rsidRPr="00000000" w14:paraId="00000113">
            <w:pPr>
              <w:spacing w:after="0" w:line="240" w:lineRule="auto"/>
              <w:ind w:left="0" w:firstLine="0"/>
              <w:rPr>
                <w:sz w:val="18"/>
                <w:szCs w:val="18"/>
              </w:rPr>
            </w:pPr>
            <w:r w:rsidDel="00000000" w:rsidR="00000000" w:rsidRPr="00000000">
              <w:rPr>
                <w:sz w:val="18"/>
                <w:szCs w:val="18"/>
                <w:rtl w:val="0"/>
              </w:rPr>
              <w:t xml:space="preserve">Información habitual revisada y toda información obligatoria.</w:t>
            </w:r>
          </w:p>
        </w:tc>
      </w:tr>
      <w:tr>
        <w:trPr>
          <w:cantSplit w:val="0"/>
          <w:trHeight w:val="645" w:hRule="atLeast"/>
          <w:tblHeader w:val="0"/>
        </w:trPr>
        <w:tc>
          <w:tcPr>
            <w:vAlign w:val="center"/>
          </w:tcPr>
          <w:p w:rsidR="00000000" w:rsidDel="00000000" w:rsidP="00000000" w:rsidRDefault="00000000" w:rsidRPr="00000000" w14:paraId="00000114">
            <w:pPr>
              <w:spacing w:after="0" w:line="240" w:lineRule="auto"/>
              <w:ind w:left="0" w:firstLine="0"/>
              <w:rPr>
                <w:sz w:val="18"/>
                <w:szCs w:val="18"/>
              </w:rPr>
            </w:pPr>
            <w:r w:rsidDel="00000000" w:rsidR="00000000" w:rsidRPr="00000000">
              <w:rPr>
                <w:sz w:val="18"/>
                <w:szCs w:val="18"/>
                <w:rtl w:val="0"/>
              </w:rPr>
              <w:t xml:space="preserve">T1</w:t>
            </w:r>
          </w:p>
        </w:tc>
        <w:tc>
          <w:tcPr>
            <w:vAlign w:val="center"/>
          </w:tcPr>
          <w:p w:rsidR="00000000" w:rsidDel="00000000" w:rsidP="00000000" w:rsidRDefault="00000000" w:rsidRPr="00000000" w14:paraId="00000115">
            <w:pPr>
              <w:spacing w:after="0" w:line="240" w:lineRule="auto"/>
              <w:ind w:left="0" w:firstLine="0"/>
              <w:rPr>
                <w:sz w:val="18"/>
                <w:szCs w:val="18"/>
              </w:rPr>
            </w:pPr>
            <w:r w:rsidDel="00000000" w:rsidR="00000000" w:rsidRPr="00000000">
              <w:rPr>
                <w:sz w:val="18"/>
                <w:szCs w:val="18"/>
                <w:rtl w:val="0"/>
              </w:rPr>
              <w:t xml:space="preserve">Envase PCR homologado, trazabilidad definida.</w:t>
            </w:r>
          </w:p>
        </w:tc>
        <w:tc>
          <w:tcPr>
            <w:vAlign w:val="center"/>
          </w:tcPr>
          <w:p w:rsidR="00000000" w:rsidDel="00000000" w:rsidP="00000000" w:rsidRDefault="00000000" w:rsidRPr="00000000" w14:paraId="00000116">
            <w:pPr>
              <w:spacing w:after="0" w:line="240" w:lineRule="auto"/>
              <w:ind w:left="0" w:firstLine="0"/>
              <w:rPr>
                <w:sz w:val="18"/>
                <w:szCs w:val="18"/>
              </w:rPr>
            </w:pPr>
            <w:r w:rsidDel="00000000" w:rsidR="00000000" w:rsidRPr="00000000">
              <w:rPr>
                <w:sz w:val="18"/>
                <w:szCs w:val="18"/>
                <w:rtl w:val="0"/>
              </w:rPr>
              <w:t xml:space="preserve">Sin promoción adicional del nuevo atributo; no se oculta información obligatoria.</w:t>
            </w:r>
          </w:p>
        </w:tc>
      </w:tr>
      <w:tr>
        <w:trPr>
          <w:cantSplit w:val="0"/>
          <w:trHeight w:val="210" w:hRule="atLeast"/>
          <w:tblHeader w:val="0"/>
        </w:trPr>
        <w:tc>
          <w:tcPr>
            <w:vAlign w:val="center"/>
          </w:tcPr>
          <w:p w:rsidR="00000000" w:rsidDel="00000000" w:rsidP="00000000" w:rsidRDefault="00000000" w:rsidRPr="00000000" w14:paraId="00000117">
            <w:pPr>
              <w:spacing w:after="0" w:line="240" w:lineRule="auto"/>
              <w:ind w:left="0" w:firstLine="0"/>
              <w:rPr>
                <w:sz w:val="18"/>
                <w:szCs w:val="18"/>
              </w:rPr>
            </w:pPr>
            <w:r w:rsidDel="00000000" w:rsidR="00000000" w:rsidRPr="00000000">
              <w:rPr>
                <w:sz w:val="18"/>
                <w:szCs w:val="18"/>
                <w:rtl w:val="0"/>
              </w:rPr>
              <w:t xml:space="preserve">T2</w:t>
            </w:r>
          </w:p>
        </w:tc>
        <w:tc>
          <w:tcPr>
            <w:vAlign w:val="center"/>
          </w:tcPr>
          <w:p w:rsidR="00000000" w:rsidDel="00000000" w:rsidP="00000000" w:rsidRDefault="00000000" w:rsidRPr="00000000" w14:paraId="00000118">
            <w:pPr>
              <w:spacing w:after="0" w:line="240" w:lineRule="auto"/>
              <w:ind w:left="0" w:firstLine="0"/>
              <w:rPr>
                <w:sz w:val="18"/>
                <w:szCs w:val="18"/>
              </w:rPr>
            </w:pPr>
            <w:r w:rsidDel="00000000" w:rsidR="00000000" w:rsidRPr="00000000">
              <w:rPr>
                <w:sz w:val="18"/>
                <w:szCs w:val="18"/>
                <w:rtl w:val="0"/>
              </w:rPr>
              <w:t xml:space="preserve">Mismo envase y especificación de T1.</w:t>
            </w:r>
          </w:p>
        </w:tc>
        <w:tc>
          <w:tcPr>
            <w:vAlign w:val="center"/>
          </w:tcPr>
          <w:p w:rsidR="00000000" w:rsidDel="00000000" w:rsidP="00000000" w:rsidRDefault="00000000" w:rsidRPr="00000000" w14:paraId="00000119">
            <w:pPr>
              <w:spacing w:after="0" w:line="240" w:lineRule="auto"/>
              <w:ind w:left="0" w:firstLine="0"/>
              <w:rPr>
                <w:sz w:val="18"/>
                <w:szCs w:val="18"/>
              </w:rPr>
            </w:pPr>
            <w:r w:rsidDel="00000000" w:rsidR="00000000" w:rsidRPr="00000000">
              <w:rPr>
                <w:sz w:val="18"/>
                <w:szCs w:val="18"/>
                <w:rtl w:val="0"/>
              </w:rPr>
              <w:t xml:space="preserve">Alegación específica respaldada y acceso a evidencia pertinente.</w:t>
            </w:r>
          </w:p>
        </w:tc>
      </w:tr>
    </w:tbl>
    <w:p w:rsidR="00000000" w:rsidDel="00000000" w:rsidP="00000000" w:rsidRDefault="00000000" w:rsidRPr="00000000" w14:paraId="0000011A">
      <w:pPr>
        <w:spacing w:before="400" w:line="268.8" w:lineRule="auto"/>
        <w:ind w:left="0" w:firstLine="0"/>
        <w:rPr>
          <w:vertAlign w:val="baseline"/>
        </w:rPr>
      </w:pPr>
      <w:r w:rsidDel="00000000" w:rsidR="00000000" w:rsidRPr="00000000">
        <w:rPr>
          <w:vertAlign w:val="baseline"/>
          <w:rtl w:val="0"/>
        </w:rPr>
        <w:t xml:space="preserve">No se introduce una alegación deliberadamente no verificada. Las referencias a certificados o sellos requieren identificar titular, alcance y vigencia; no se incluyen como ejemplos listos para imprimir sin esa comprobación. </w:t>
      </w:r>
    </w:p>
    <w:p w:rsidR="00000000" w:rsidDel="00000000" w:rsidP="00000000" w:rsidRDefault="00000000" w:rsidRPr="00000000" w14:paraId="0000011B">
      <w:pPr>
        <w:rPr/>
      </w:pPr>
      <w:r w:rsidDel="00000000" w:rsidR="00000000" w:rsidRPr="00000000">
        <w:rPr>
          <w:rFonts w:ascii="Nova Mono" w:cs="Nova Mono" w:eastAsia="Nova Mono" w:hAnsi="Nova Mono"/>
          <w:rtl w:val="0"/>
        </w:rPr>
        <w:t xml:space="preserve">T1−T0 estima el efecto del paquete físico ofrecido; T2−T1, el efecto incremental del paquete de comunicación; y T2−T0, el efecto del conjunto. T1 no se considera un brazo ciego, porque el envase puede presentar diferencias perceptibles. Si texto, diseño y QR cambian simultáneamente, la comparación no separa sus efectos individuales. Este diseño de tres brazos no es un experimento factorial.</w:t>
      </w:r>
    </w:p>
    <w:p w:rsidR="00000000" w:rsidDel="00000000" w:rsidP="00000000" w:rsidRDefault="00000000" w:rsidRPr="00000000" w14:paraId="0000011C">
      <w:pPr>
        <w:pStyle w:val="Heading2"/>
        <w:rPr/>
      </w:pPr>
      <w:bookmarkStart w:colFirst="0" w:colLast="0" w:name="_rox44ef0vn07" w:id="16"/>
      <w:bookmarkEnd w:id="16"/>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rPr>
          <w:vertAlign w:val="baseline"/>
        </w:rPr>
      </w:pPr>
      <w:bookmarkStart w:colFirst="0" w:colLast="0" w:name="_mfeb7tey0lc5" w:id="17"/>
      <w:bookmarkEnd w:id="17"/>
      <w:r w:rsidDel="00000000" w:rsidR="00000000" w:rsidRPr="00000000">
        <w:rPr>
          <w:rtl w:val="0"/>
        </w:rPr>
        <w:t xml:space="preserve">ASIGNACIÓN Y ESTIMANDO </w:t>
      </w:r>
      <w:r w:rsidDel="00000000" w:rsidR="00000000" w:rsidRPr="00000000">
        <w:rPr>
          <w:rtl w:val="0"/>
        </w:rPr>
      </w:r>
    </w:p>
    <w:p w:rsidR="00000000" w:rsidDel="00000000" w:rsidP="00000000" w:rsidRDefault="00000000" w:rsidRPr="00000000" w14:paraId="0000011E">
      <w:pPr>
        <w:rPr>
          <w:vertAlign w:val="baseline"/>
        </w:rPr>
      </w:pPr>
      <w:r w:rsidDel="00000000" w:rsidR="00000000" w:rsidRPr="00000000">
        <w:rPr>
          <w:vertAlign w:val="baseline"/>
          <w:rtl w:val="0"/>
        </w:rPr>
        <w:t xml:space="preserve">En digital, asignación persistente por usuario elegible antes de exposición; en físico, considerar tienda o tienda periodo, contaminación y arrastre. El denominador primario incluye todos los elegibles asignados según regla previa, no solo compradores, lectores del mensaje o quienes </w:t>
      </w:r>
      <w:r w:rsidDel="00000000" w:rsidR="00000000" w:rsidRPr="00000000">
        <w:rPr>
          <w:vertAlign w:val="baseline"/>
          <w:rtl w:val="0"/>
        </w:rPr>
        <w:t xml:space="preserve">escanean</w:t>
      </w:r>
      <w:r w:rsidDel="00000000" w:rsidR="00000000" w:rsidRPr="00000000">
        <w:rPr>
          <w:vertAlign w:val="baseline"/>
          <w:rtl w:val="0"/>
        </w:rPr>
        <w:t xml:space="preserve"> el QR. No excluir tras el tratamiento a quien no se expone por un fallo causado por la intervención. </w:t>
      </w:r>
    </w:p>
    <w:p w:rsidR="00000000" w:rsidDel="00000000" w:rsidP="00000000" w:rsidRDefault="00000000" w:rsidRPr="00000000" w14:paraId="0000011F">
      <w:pPr>
        <w:rPr>
          <w:vertAlign w:val="baseline"/>
        </w:rPr>
      </w:pPr>
      <w:r w:rsidDel="00000000" w:rsidR="00000000" w:rsidRPr="00000000">
        <w:rPr>
          <w:vertAlign w:val="baseline"/>
          <w:rtl w:val="0"/>
        </w:rPr>
        <w:t xml:space="preserve">Estimando primario propuesto: </w:t>
      </w:r>
      <w:r w:rsidDel="00000000" w:rsidR="00000000" w:rsidRPr="00000000">
        <w:rPr>
          <w:rFonts w:ascii="Consolas" w:cs="Consolas" w:eastAsia="Consolas" w:hAnsi="Consolas"/>
          <w:sz w:val="19"/>
          <w:szCs w:val="19"/>
          <w:shd w:fill="f4f4f4" w:val="clear"/>
          <w:rtl w:val="0"/>
        </w:rPr>
        <w:t xml:space="preserve">τ₂₁</w:t>
      </w:r>
      <w:r w:rsidDel="00000000" w:rsidR="00000000" w:rsidRPr="00000000">
        <w:rPr>
          <w:rFonts w:ascii="Consolas" w:cs="Consolas" w:eastAsia="Consolas" w:hAnsi="Consolas"/>
          <w:sz w:val="19"/>
          <w:szCs w:val="19"/>
          <w:shd w:fill="f4f4f4" w:val="clear"/>
          <w:rtl w:val="0"/>
        </w:rPr>
        <w:t xml:space="preserve"> = E[Y(T₂) − Y(T₁)]</w:t>
      </w:r>
      <w:r w:rsidDel="00000000" w:rsidR="00000000" w:rsidRPr="00000000">
        <w:rPr>
          <w:vertAlign w:val="baseline"/>
          <w:rtl w:val="0"/>
        </w:rPr>
        <w:t xml:space="preserve">, con </w:t>
      </w:r>
      <w:r w:rsidDel="00000000" w:rsidR="00000000" w:rsidRPr="00000000">
        <w:rPr>
          <w:rFonts w:ascii="Consolas" w:cs="Consolas" w:eastAsia="Consolas" w:hAnsi="Consolas"/>
          <w:sz w:val="19"/>
          <w:szCs w:val="19"/>
          <w:shd w:fill="f4f4f4" w:val="clear"/>
          <w:rtl w:val="0"/>
        </w:rPr>
        <w:t xml:space="preserve">Y = 1</w:t>
      </w:r>
      <w:r w:rsidDel="00000000" w:rsidR="00000000" w:rsidRPr="00000000">
        <w:rPr>
          <w:vertAlign w:val="baseline"/>
          <w:rtl w:val="0"/>
        </w:rPr>
        <w:t xml:space="preserve"> si compra el SKU en una ventana predefinida y </w:t>
      </w:r>
      <w:r w:rsidDel="00000000" w:rsidR="00000000" w:rsidRPr="00000000">
        <w:rPr>
          <w:rFonts w:ascii="Consolas" w:cs="Consolas" w:eastAsia="Consolas" w:hAnsi="Consolas"/>
          <w:sz w:val="19"/>
          <w:szCs w:val="19"/>
          <w:shd w:fill="f4f4f4" w:val="clear"/>
          <w:rtl w:val="0"/>
        </w:rPr>
        <w:t xml:space="preserve">0</w:t>
      </w:r>
      <w:r w:rsidDel="00000000" w:rsidR="00000000" w:rsidRPr="00000000">
        <w:rPr>
          <w:vertAlign w:val="baseline"/>
          <w:rtl w:val="0"/>
        </w:rPr>
        <w:t xml:space="preserve"> en caso contrario. Reportar diferencia de probabilidades, intervalos y denominadores. Analizar por intención de tratar y respetar la estructura de aleatorización. </w:t>
      </w:r>
    </w:p>
    <w:p w:rsidR="00000000" w:rsidDel="00000000" w:rsidP="00000000" w:rsidRDefault="00000000" w:rsidRPr="00000000" w14:paraId="00000120">
      <w:pPr>
        <w:rPr>
          <w:vertAlign w:val="baseline"/>
        </w:rPr>
      </w:pPr>
      <w:r w:rsidDel="00000000" w:rsidR="00000000" w:rsidRPr="00000000">
        <w:rPr>
          <w:vertAlign w:val="baseline"/>
          <w:rtl w:val="0"/>
        </w:rPr>
        <w:t xml:space="preserve">Para un modelo lineal de probabilidad con indicadores de brazo, </w:t>
      </w:r>
      <w:r w:rsidDel="00000000" w:rsidR="00000000" w:rsidRPr="00000000">
        <w:rPr>
          <w:rFonts w:ascii="Consolas" w:cs="Consolas" w:eastAsia="Consolas" w:hAnsi="Consolas"/>
          <w:sz w:val="19"/>
          <w:szCs w:val="19"/>
          <w:shd w:fill="f4f4f4" w:val="clear"/>
          <w:rtl w:val="0"/>
        </w:rPr>
        <w:t xml:space="preserve">β₂ − β₁</w:t>
      </w:r>
      <w:r w:rsidDel="00000000" w:rsidR="00000000" w:rsidRPr="00000000">
        <w:rPr>
          <w:vertAlign w:val="baseline"/>
          <w:rtl w:val="0"/>
        </w:rPr>
        <w:t xml:space="preserve"> es el contraste entre T2 y T1. En logit, el contraste de coeficientes está en la escala del modelo; para expresar efecto en compra, reportar probabilidades estandarizadas y su diferencia. Errores agrupados no resuelven por sí solos pocas tiendas o dependencia temporal. Pre-especificar faltantes, exclusiones, multiplicidad, parada y sensibilidad. </w:t>
      </w:r>
    </w:p>
    <w:p w:rsidR="00000000" w:rsidDel="00000000" w:rsidP="00000000" w:rsidRDefault="00000000" w:rsidRPr="00000000" w14:paraId="00000121">
      <w:pPr>
        <w:pStyle w:val="Heading2"/>
        <w:rPr>
          <w:vertAlign w:val="baseline"/>
        </w:rPr>
      </w:pPr>
      <w:bookmarkStart w:colFirst="0" w:colLast="0" w:name="_nhq6uvbarknn" w:id="18"/>
      <w:bookmarkEnd w:id="18"/>
      <w:r w:rsidDel="00000000" w:rsidR="00000000" w:rsidRPr="00000000">
        <w:rPr>
          <w:rtl w:val="0"/>
        </w:rPr>
        <w:t xml:space="preserve">CONTRIBUCIÓN, INVERSIÓN Y NO INFERIORIDAD </w:t>
      </w:r>
      <w:r w:rsidDel="00000000" w:rsidR="00000000" w:rsidRPr="00000000">
        <w:rPr>
          <w:rtl w:val="0"/>
        </w:rPr>
      </w:r>
    </w:p>
    <w:p w:rsidR="00000000" w:rsidDel="00000000" w:rsidP="00000000" w:rsidRDefault="00000000" w:rsidRPr="00000000" w14:paraId="00000122">
      <w:pPr>
        <w:rPr>
          <w:vertAlign w:val="baseline"/>
        </w:rPr>
      </w:pPr>
      <w:r w:rsidDel="00000000" w:rsidR="00000000" w:rsidRPr="00000000">
        <w:rPr>
          <w:vertAlign w:val="baseline"/>
          <w:rtl w:val="0"/>
        </w:rPr>
        <w:t xml:space="preserve">Contribución por elegible = </w:t>
      </w:r>
      <w:r w:rsidDel="00000000" w:rsidR="00000000" w:rsidRPr="00000000">
        <w:rPr>
          <w:rFonts w:ascii="Consolas" w:cs="Consolas" w:eastAsia="Consolas" w:hAnsi="Consolas"/>
          <w:sz w:val="19"/>
          <w:szCs w:val="19"/>
          <w:shd w:fill="f4f4f4" w:val="clear"/>
          <w:rtl w:val="0"/>
        </w:rPr>
        <w:t xml:space="preserve">[ingresos netos − costos variables atribuibles] / elegibles asignados</w:t>
      </w:r>
      <w:r w:rsidDel="00000000" w:rsidR="00000000" w:rsidRPr="00000000">
        <w:rPr>
          <w:vertAlign w:val="baseline"/>
          <w:rtl w:val="0"/>
        </w:rPr>
        <w:t xml:space="preserve">. Detallar descuentos, logística, devoluciones, merma, gestión y costos variables de comunicación. CAPEX y gastos fijos se muestran separadamente en la evaluación de inversión; un escenario con costos asignados se identifica aparte. </w:t>
      </w:r>
    </w:p>
    <w:p w:rsidR="00000000" w:rsidDel="00000000" w:rsidP="00000000" w:rsidRDefault="00000000" w:rsidRPr="00000000" w14:paraId="00000123">
      <w:pPr>
        <w:rPr>
          <w:vertAlign w:val="baseline"/>
        </w:rPr>
      </w:pPr>
      <w:r w:rsidDel="00000000" w:rsidR="00000000" w:rsidRPr="00000000">
        <w:rPr>
          <w:vertAlign w:val="baseline"/>
          <w:rtl w:val="0"/>
        </w:rPr>
        <w:t xml:space="preserve">La condición de no deteriorar la contribución necesita un umbral comercial y, si se busca una conclusión estadística de no inferioridad, un margen justificado y potencia propia. No encontrar significancia no demuestra ausencia de deterioro. La recompra a 60 días es secundaria si el ciclo de uso lo permite; restringirla a compradores iniciales puede introducir selección post-asignación. La encuesta </w:t>
      </w:r>
      <w:r w:rsidDel="00000000" w:rsidR="00000000" w:rsidRPr="00000000">
        <w:rPr>
          <w:rtl w:val="0"/>
        </w:rPr>
        <w:t xml:space="preserve">post-compra</w:t>
      </w:r>
      <w:r w:rsidDel="00000000" w:rsidR="00000000" w:rsidRPr="00000000">
        <w:rPr>
          <w:vertAlign w:val="baseline"/>
          <w:rtl w:val="0"/>
        </w:rPr>
        <w:t xml:space="preserve"> voluntaria tampoco representa automáticamente a todos los elegibles. </w:t>
      </w:r>
    </w:p>
    <w:p w:rsidR="00000000" w:rsidDel="00000000" w:rsidP="00000000" w:rsidRDefault="00000000" w:rsidRPr="00000000" w14:paraId="00000124">
      <w:pPr>
        <w:pStyle w:val="Heading2"/>
        <w:rPr>
          <w:vertAlign w:val="baseline"/>
        </w:rPr>
      </w:pPr>
      <w:bookmarkStart w:colFirst="0" w:colLast="0" w:name="_7j7ueajf20n3" w:id="19"/>
      <w:bookmarkEnd w:id="19"/>
      <w:r w:rsidDel="00000000" w:rsidR="00000000" w:rsidRPr="00000000">
        <w:rPr>
          <w:rtl w:val="0"/>
        </w:rPr>
        <w:t xml:space="preserve">PLANIFICACIÓN MUESTRAL, NO TAMAÑO DEFINITIVO </w:t>
      </w:r>
      <w:r w:rsidDel="00000000" w:rsidR="00000000" w:rsidRPr="00000000">
        <w:rPr>
          <w:rtl w:val="0"/>
        </w:rPr>
      </w:r>
    </w:p>
    <w:tbl>
      <w:tblPr>
        <w:tblStyle w:val="Table9"/>
        <w:tblW w:w="9870.0" w:type="dxa"/>
        <w:jc w:val="left"/>
        <w:tblInd w:w="10.746154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025"/>
        <w:gridCol w:w="5310"/>
        <w:tblGridChange w:id="0">
          <w:tblGrid>
            <w:gridCol w:w="2535"/>
            <w:gridCol w:w="2025"/>
            <w:gridCol w:w="5310"/>
          </w:tblGrid>
        </w:tblGridChange>
      </w:tblGrid>
      <w:tr>
        <w:trPr>
          <w:cantSplit w:val="0"/>
          <w:trHeight w:val="405" w:hRule="atLeast"/>
          <w:tblHeader w:val="0"/>
        </w:trPr>
        <w:tc>
          <w:tcPr>
            <w:shd w:fill="1a4a75" w:val="clear"/>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ind w:left="0" w:firstLine="0"/>
              <w:rPr>
                <w:color w:val="ffffff"/>
                <w:sz w:val="18"/>
                <w:szCs w:val="18"/>
                <w:vertAlign w:val="baseline"/>
              </w:rPr>
            </w:pPr>
            <w:r w:rsidDel="00000000" w:rsidR="00000000" w:rsidRPr="00000000">
              <w:rPr>
                <w:color w:val="ffffff"/>
                <w:sz w:val="18"/>
                <w:szCs w:val="18"/>
                <w:vertAlign w:val="baseline"/>
                <w:rtl w:val="0"/>
              </w:rPr>
              <w:t xml:space="preserve">BASE HIPOTÉTICA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ind w:left="0" w:firstLine="0"/>
              <w:rPr>
                <w:color w:val="ffffff"/>
                <w:sz w:val="18"/>
                <w:szCs w:val="18"/>
                <w:vertAlign w:val="baseline"/>
              </w:rPr>
            </w:pPr>
            <w:r w:rsidDel="00000000" w:rsidR="00000000" w:rsidRPr="00000000">
              <w:rPr>
                <w:color w:val="ffffff"/>
                <w:sz w:val="18"/>
                <w:szCs w:val="18"/>
                <w:vertAlign w:val="baseline"/>
                <w:rtl w:val="0"/>
              </w:rPr>
              <w:t xml:space="preserve">ALTERNATIVA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ind w:left="0" w:firstLine="0"/>
              <w:rPr>
                <w:color w:val="ffffff"/>
                <w:sz w:val="18"/>
                <w:szCs w:val="18"/>
                <w:vertAlign w:val="baseline"/>
              </w:rPr>
            </w:pPr>
            <w:r w:rsidDel="00000000" w:rsidR="00000000" w:rsidRPr="00000000">
              <w:rPr>
                <w:color w:val="ffffff"/>
                <w:sz w:val="18"/>
                <w:szCs w:val="18"/>
                <w:vertAlign w:val="baseline"/>
                <w:rtl w:val="0"/>
              </w:rPr>
              <w:t xml:space="preserve">APROXIMACIÓN POR BRAZO COMPARADO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ind w:left="0" w:firstLine="0"/>
              <w:rPr>
                <w:sz w:val="18"/>
                <w:szCs w:val="18"/>
                <w:vertAlign w:val="baseline"/>
              </w:rPr>
            </w:pPr>
            <w:r w:rsidDel="00000000" w:rsidR="00000000" w:rsidRPr="00000000">
              <w:rPr>
                <w:sz w:val="18"/>
                <w:szCs w:val="18"/>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ind w:left="0" w:firstLine="0"/>
              <w:rPr>
                <w:sz w:val="18"/>
                <w:szCs w:val="18"/>
                <w:vertAlign w:val="baseline"/>
              </w:rPr>
            </w:pPr>
            <w:r w:rsidDel="00000000" w:rsidR="00000000" w:rsidRPr="00000000">
              <w:rPr>
                <w:sz w:val="18"/>
                <w:szCs w:val="18"/>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ind w:left="0" w:firstLine="0"/>
              <w:rPr>
                <w:sz w:val="18"/>
                <w:szCs w:val="18"/>
                <w:vertAlign w:val="baseline"/>
              </w:rPr>
            </w:pPr>
            <w:r w:rsidDel="00000000" w:rsidR="00000000" w:rsidRPr="00000000">
              <w:rPr>
                <w:sz w:val="18"/>
                <w:szCs w:val="18"/>
                <w:vertAlign w:val="baseline"/>
                <w:rtl w:val="0"/>
              </w:rPr>
              <w:t xml:space="preserve">1.471</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ind w:left="0" w:firstLine="0"/>
              <w:rPr>
                <w:sz w:val="18"/>
                <w:szCs w:val="18"/>
                <w:vertAlign w:val="baseline"/>
              </w:rPr>
            </w:pPr>
            <w:r w:rsidDel="00000000" w:rsidR="00000000" w:rsidRPr="00000000">
              <w:rPr>
                <w:sz w:val="18"/>
                <w:szCs w:val="18"/>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ind w:left="0" w:firstLine="0"/>
              <w:rPr>
                <w:sz w:val="18"/>
                <w:szCs w:val="18"/>
                <w:vertAlign w:val="baseline"/>
              </w:rPr>
            </w:pPr>
            <w:r w:rsidDel="00000000" w:rsidR="00000000" w:rsidRPr="00000000">
              <w:rPr>
                <w:sz w:val="18"/>
                <w:szCs w:val="18"/>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ind w:left="0" w:firstLine="0"/>
              <w:rPr>
                <w:sz w:val="18"/>
                <w:szCs w:val="18"/>
                <w:vertAlign w:val="baseline"/>
              </w:rPr>
            </w:pPr>
            <w:r w:rsidDel="00000000" w:rsidR="00000000" w:rsidRPr="00000000">
              <w:rPr>
                <w:sz w:val="18"/>
                <w:szCs w:val="18"/>
                <w:vertAlign w:val="baseline"/>
                <w:rtl w:val="0"/>
              </w:rPr>
              <w:t xml:space="preserve">2.507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ind w:left="0" w:firstLine="0"/>
              <w:rPr>
                <w:sz w:val="18"/>
                <w:szCs w:val="18"/>
                <w:vertAlign w:val="baseline"/>
              </w:rPr>
            </w:pPr>
            <w:r w:rsidDel="00000000" w:rsidR="00000000" w:rsidRPr="00000000">
              <w:rPr>
                <w:sz w:val="18"/>
                <w:szCs w:val="18"/>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ind w:left="0" w:firstLine="0"/>
              <w:rPr>
                <w:sz w:val="18"/>
                <w:szCs w:val="18"/>
                <w:vertAlign w:val="baseline"/>
              </w:rPr>
            </w:pPr>
            <w:r w:rsidDel="00000000" w:rsidR="00000000" w:rsidRPr="00000000">
              <w:rPr>
                <w:sz w:val="18"/>
                <w:szCs w:val="18"/>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ind w:left="0" w:firstLine="0"/>
              <w:rPr>
                <w:sz w:val="18"/>
                <w:szCs w:val="18"/>
                <w:vertAlign w:val="baseline"/>
              </w:rPr>
            </w:pPr>
            <w:r w:rsidDel="00000000" w:rsidR="00000000" w:rsidRPr="00000000">
              <w:rPr>
                <w:sz w:val="18"/>
                <w:szCs w:val="18"/>
                <w:vertAlign w:val="baseline"/>
                <w:rtl w:val="0"/>
              </w:rPr>
              <w:t xml:space="preserve">4.202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ind w:left="0" w:firstLine="0"/>
              <w:rPr>
                <w:sz w:val="18"/>
                <w:szCs w:val="18"/>
                <w:vertAlign w:val="baseline"/>
              </w:rPr>
            </w:pPr>
            <w:r w:rsidDel="00000000" w:rsidR="00000000" w:rsidRPr="00000000">
              <w:rPr>
                <w:sz w:val="18"/>
                <w:szCs w:val="18"/>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ind w:left="0" w:firstLine="0"/>
              <w:rPr>
                <w:sz w:val="18"/>
                <w:szCs w:val="18"/>
                <w:vertAlign w:val="baseline"/>
              </w:rPr>
            </w:pPr>
            <w:r w:rsidDel="00000000" w:rsidR="00000000" w:rsidRPr="00000000">
              <w:rPr>
                <w:sz w:val="18"/>
                <w:szCs w:val="18"/>
                <w:vertAlign w:val="baseline"/>
                <w:rtl w:val="0"/>
              </w:rPr>
              <w:t xml:space="preserve">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ind w:left="0" w:firstLine="0"/>
              <w:rPr>
                <w:sz w:val="18"/>
                <w:szCs w:val="18"/>
                <w:vertAlign w:val="baseline"/>
              </w:rPr>
            </w:pPr>
            <w:r w:rsidDel="00000000" w:rsidR="00000000" w:rsidRPr="00000000">
              <w:rPr>
                <w:sz w:val="18"/>
                <w:szCs w:val="18"/>
                <w:vertAlign w:val="baseline"/>
                <w:rtl w:val="0"/>
              </w:rPr>
              <w:t xml:space="preserve">6.275</w:t>
            </w:r>
          </w:p>
        </w:tc>
      </w:tr>
    </w:tbl>
    <w:p w:rsidR="00000000" w:rsidDel="00000000" w:rsidP="00000000" w:rsidRDefault="00000000" w:rsidRPr="00000000" w14:paraId="00000134">
      <w:pPr>
        <w:spacing w:before="400" w:line="268.8" w:lineRule="auto"/>
        <w:ind w:left="0" w:firstLine="0"/>
        <w:rPr>
          <w:vertAlign w:val="baseline"/>
        </w:rPr>
      </w:pPr>
      <w:r w:rsidDel="00000000" w:rsidR="00000000" w:rsidRPr="00000000">
        <w:rPr>
          <w:vertAlign w:val="baseline"/>
          <w:rtl w:val="0"/>
        </w:rPr>
        <w:t xml:space="preserve">Los cálculos ilustran dos proporciones independientes, asignación igual, alfa bilateral 0,05, potencia objetivo 80% y diferencia absoluta de 2,5 puntos porcentuales. No incluyen pérdidas, multiplicidad ni agrupamiento. Multiplicar por tres sería un presupuesto aritmético, no la validación de potencia de todo el piloto. </w:t>
      </w:r>
    </w:p>
    <w:p w:rsidR="00000000" w:rsidDel="00000000" w:rsidP="00000000" w:rsidRDefault="00000000" w:rsidRPr="00000000" w14:paraId="00000135">
      <w:pPr>
        <w:rPr>
          <w:vertAlign w:val="baseline"/>
        </w:rPr>
      </w:pPr>
      <w:r w:rsidDel="00000000" w:rsidR="00000000" w:rsidRPr="00000000">
        <w:rPr>
          <w:vertAlign w:val="baseline"/>
          <w:rtl w:val="0"/>
        </w:rPr>
        <w:t xml:space="preserve">El efecto de diseño </w:t>
      </w:r>
      <w:r w:rsidDel="00000000" w:rsidR="00000000" w:rsidRPr="00000000">
        <w:rPr>
          <w:rFonts w:ascii="Consolas" w:cs="Consolas" w:eastAsia="Consolas" w:hAnsi="Consolas"/>
          <w:sz w:val="19"/>
          <w:szCs w:val="19"/>
          <w:shd w:fill="f4f4f4" w:val="clear"/>
          <w:rtl w:val="0"/>
        </w:rPr>
        <w:t xml:space="preserve">1 + (m − 1)ρ</w:t>
      </w:r>
      <w:r w:rsidDel="00000000" w:rsidR="00000000" w:rsidRPr="00000000">
        <w:rPr>
          <w:vertAlign w:val="baseline"/>
          <w:rtl w:val="0"/>
        </w:rPr>
        <w:t xml:space="preserve"> puede orientar un escenario simple con conglomerados similares. No sustituye dimensionar número y tamaño de tiendas, correlación, periodos y análisis previstos. La muestra definitiva requiere línea base local y, cuando corresponda, simulación del diseño. </w:t>
      </w:r>
    </w:p>
    <w:p w:rsidR="00000000" w:rsidDel="00000000" w:rsidP="00000000" w:rsidRDefault="00000000" w:rsidRPr="00000000" w14:paraId="00000136">
      <w:pPr>
        <w:pStyle w:val="Heading1"/>
        <w:rPr/>
      </w:pPr>
      <w:bookmarkStart w:colFirst="0" w:colLast="0" w:name="_4bcblg5m0x5x" w:id="20"/>
      <w:bookmarkEnd w:id="20"/>
      <w:r w:rsidDel="00000000" w:rsidR="00000000" w:rsidRPr="00000000">
        <w:br w:type="page"/>
      </w: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t xml:space="preserve">Egami e Imai (2019) se citan como referencia metodológica sobre interacción causal en experimentos factoriales. AV-EXP-01, tal como se propone aquí, utiliza tres brazos y compara paquetes de intervención; no identifica una interacción factorial ni separa todos los componentes del mensaje. La referencia no constituye evidencia sobre la eficacia de la Arquitectura de Valor.</w:t>
      </w:r>
      <w:r w:rsidDel="00000000" w:rsidR="00000000" w:rsidRPr="00000000">
        <w:rPr>
          <w:b w:val="1"/>
          <w:bCs w:val="1"/>
          <w:rtl w:val="0"/>
        </w:rPr>
        <w:t xml:space="preserve"> [R5]</w:t>
      </w:r>
    </w:p>
    <w:p w:rsidR="00000000" w:rsidDel="00000000" w:rsidP="00000000" w:rsidRDefault="00000000" w:rsidRPr="00000000" w14:paraId="00000138">
      <w:pPr>
        <w:pStyle w:val="Heading1"/>
        <w:spacing w:before="600" w:lineRule="auto"/>
        <w:rPr>
          <w:vertAlign w:val="baseline"/>
        </w:rPr>
      </w:pPr>
      <w:bookmarkStart w:colFirst="0" w:colLast="0" w:name="_m14w5hygeskm" w:id="21"/>
      <w:bookmarkEnd w:id="21"/>
      <w:r w:rsidDel="00000000" w:rsidR="00000000" w:rsidRPr="00000000">
        <w:rPr>
          <w:rtl w:val="0"/>
        </w:rPr>
        <w:t xml:space="preserve">7. DE LA SEÑAL A LA MEDICIÓN Y DE VUELTA AL RADAR </w:t>
      </w:r>
      <w:r w:rsidDel="00000000" w:rsidR="00000000" w:rsidRPr="00000000">
        <w:rPr>
          <w:rtl w:val="0"/>
        </w:rPr>
      </w:r>
    </w:p>
    <w:p w:rsidR="00000000" w:rsidDel="00000000" w:rsidP="00000000" w:rsidRDefault="00000000" w:rsidRPr="00000000" w14:paraId="00000139">
      <w:pPr>
        <w:rPr>
          <w:vertAlign w:val="baseline"/>
        </w:rPr>
      </w:pPr>
      <w:r w:rsidDel="00000000" w:rsidR="00000000" w:rsidRPr="00000000">
        <w:rPr>
          <w:vertAlign w:val="baseline"/>
          <w:rtl w:val="0"/>
        </w:rPr>
        <w:t xml:space="preserve">Los indicadores son propuestas, no datos ya observados ni exigencias universales de una norma. Todos requieren valor, unidad, periodo, geografía, alcance, fuente, enlace o localizador protegido, responsable, método, incertidumbre y estado de evidencia. La línea base y las metas del piloto están pendientes. </w:t>
      </w:r>
    </w:p>
    <w:tbl>
      <w:tblPr>
        <w:tblStyle w:val="Table10"/>
        <w:tblW w:w="9870.0" w:type="dxa"/>
        <w:jc w:val="left"/>
        <w:tblInd w:w="10.746154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880"/>
        <w:gridCol w:w="3120"/>
        <w:gridCol w:w="2955"/>
        <w:tblGridChange w:id="0">
          <w:tblGrid>
            <w:gridCol w:w="915"/>
            <w:gridCol w:w="2880"/>
            <w:gridCol w:w="3120"/>
            <w:gridCol w:w="2955"/>
          </w:tblGrid>
        </w:tblGridChange>
      </w:tblGrid>
      <w:tr>
        <w:trPr>
          <w:cantSplit w:val="0"/>
          <w:trHeight w:val="405" w:hRule="atLeast"/>
          <w:tblHeader w:val="0"/>
        </w:trPr>
        <w:tc>
          <w:tcPr>
            <w:shd w:fill="1a4a75" w:val="clear"/>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ind w:left="0" w:firstLine="0"/>
              <w:jc w:val="left"/>
              <w:rPr>
                <w:color w:val="ffffff"/>
                <w:sz w:val="18"/>
                <w:szCs w:val="18"/>
                <w:vertAlign w:val="baseline"/>
              </w:rPr>
            </w:pPr>
            <w:r w:rsidDel="00000000" w:rsidR="00000000" w:rsidRPr="00000000">
              <w:rPr>
                <w:color w:val="ffffff"/>
                <w:sz w:val="18"/>
                <w:szCs w:val="18"/>
                <w:vertAlign w:val="baseline"/>
                <w:rtl w:val="0"/>
              </w:rPr>
              <w:t xml:space="preserve">CÓDIGO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ind w:left="0" w:firstLine="0"/>
              <w:jc w:val="left"/>
              <w:rPr>
                <w:color w:val="ffffff"/>
                <w:sz w:val="18"/>
                <w:szCs w:val="18"/>
                <w:vertAlign w:val="baseline"/>
              </w:rPr>
            </w:pPr>
            <w:r w:rsidDel="00000000" w:rsidR="00000000" w:rsidRPr="00000000">
              <w:rPr>
                <w:color w:val="ffffff"/>
                <w:sz w:val="18"/>
                <w:szCs w:val="18"/>
                <w:vertAlign w:val="baseline"/>
                <w:rtl w:val="0"/>
              </w:rPr>
              <w:t xml:space="preserve">MÉTRICA PROPUESTA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ind w:left="0" w:firstLine="0"/>
              <w:jc w:val="left"/>
              <w:rPr>
                <w:color w:val="ffffff"/>
                <w:sz w:val="18"/>
                <w:szCs w:val="18"/>
                <w:vertAlign w:val="baseline"/>
              </w:rPr>
            </w:pPr>
            <w:r w:rsidDel="00000000" w:rsidR="00000000" w:rsidRPr="00000000">
              <w:rPr>
                <w:color w:val="ffffff"/>
                <w:sz w:val="18"/>
                <w:szCs w:val="18"/>
                <w:vertAlign w:val="baseline"/>
                <w:rtl w:val="0"/>
              </w:rPr>
              <w:t xml:space="preserve">FUENTE Y PERIODO </w:t>
            </w:r>
          </w:p>
        </w:tc>
        <w:tc>
          <w:tcPr>
            <w:shd w:fill="1a4a75" w:val="clear"/>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ind w:left="0" w:firstLine="0"/>
              <w:jc w:val="left"/>
              <w:rPr>
                <w:color w:val="ffffff"/>
                <w:sz w:val="18"/>
                <w:szCs w:val="18"/>
                <w:vertAlign w:val="baseline"/>
              </w:rPr>
            </w:pPr>
            <w:r w:rsidDel="00000000" w:rsidR="00000000" w:rsidRPr="00000000">
              <w:rPr>
                <w:color w:val="ffffff"/>
                <w:sz w:val="18"/>
                <w:szCs w:val="18"/>
                <w:vertAlign w:val="baseline"/>
                <w:rtl w:val="0"/>
              </w:rPr>
              <w:t xml:space="preserve">LÍMITE</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Compra, compradores/elegibles </w:t>
            </w:r>
          </w:p>
          <w:p w:rsidR="00000000" w:rsidDel="00000000" w:rsidP="00000000" w:rsidRDefault="00000000" w:rsidRPr="00000000" w14:paraId="00000140">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asignados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Asignación y ventas; ventana primaria.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Incluye no compradores; unidad consistente.</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Contribución, CLP/elegible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ERP y costos; ventana </w:t>
            </w:r>
          </w:p>
          <w:p w:rsidR="00000000" w:rsidDel="00000000" w:rsidP="00000000" w:rsidRDefault="00000000" w:rsidRPr="00000000" w14:paraId="00000146">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primaria.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Separar CAPEX y gastos fijos.</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Tarifa REP, CLP/kg o envase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Tarifa y facturas; periodo aplicable.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No asumir ahorro automático por PCR.</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A01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Resina virgen, g/unidad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Balance y lotes; por 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Misma función; declarar </w:t>
            </w:r>
          </w:p>
          <w:p w:rsidR="00000000" w:rsidDel="00000000" w:rsidP="00000000" w:rsidRDefault="00000000" w:rsidRPr="00000000" w14:paraId="00000150">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componentes.</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A02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PCR, % masa del 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Proveedor, formulación y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No es recuperación ni impacto total.</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A03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Merma, masa descartada/alimentada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Registros de línea; turno y 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Rechazo en unidades es otra </w:t>
            </w:r>
          </w:p>
          <w:p w:rsidR="00000000" w:rsidDel="00000000" w:rsidP="00000000" w:rsidRDefault="00000000" w:rsidRPr="00000000" w14:paraId="00000159">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métrica.</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A04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Valorización documentada, 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Sistema/gestores; periodo declarado.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No asignar al SKU sin trazabilidad.</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S01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Comprensión correcta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Test predefinido; </w:t>
            </w:r>
          </w:p>
          <w:p w:rsidR="00000000" w:rsidDel="00000000" w:rsidP="00000000" w:rsidRDefault="00000000" w:rsidRPr="00000000" w14:paraId="00000161">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antes/durante piloto.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Declarar muestreo y base válida.</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S02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Precio por uso, CLP/unidad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Precios, dosis y duración; semanal.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No demuestra asequibilidad por sí solo.</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S03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Acceso a información, tareas y barreras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Pruebas accesibles con </w:t>
            </w:r>
          </w:p>
          <w:p w:rsidR="00000000" w:rsidDel="00000000" w:rsidP="00000000" w:rsidRDefault="00000000" w:rsidRPr="00000000" w14:paraId="0000016A">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No depender exclusivamente de QR.</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S04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Cobertura/hallazgos laborales 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Revisión e entrevistas </w:t>
            </w:r>
          </w:p>
          <w:p w:rsidR="00000000" w:rsidDel="00000000" w:rsidP="00000000" w:rsidRDefault="00000000" w:rsidRPr="00000000" w14:paraId="0000016F">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protegidas.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No mide por sí </w:t>
            </w:r>
            <w:r w:rsidDel="00000000" w:rsidR="00000000" w:rsidRPr="00000000">
              <w:rPr>
                <w:sz w:val="18"/>
                <w:szCs w:val="18"/>
                <w:rtl w:val="0"/>
              </w:rPr>
              <w:t xml:space="preserve">solo el impacto</w:t>
            </w:r>
            <w:r w:rsidDel="00000000" w:rsidR="00000000" w:rsidRPr="00000000">
              <w:rPr>
                <w:sz w:val="18"/>
                <w:szCs w:val="18"/>
                <w:vertAlign w:val="baseline"/>
                <w:rtl w:val="0"/>
              </w:rPr>
              <w:t xml:space="preserve"> causal social.</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G01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Claims con expediente/vigentes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Registro técnico-legal; </w:t>
            </w:r>
          </w:p>
          <w:p w:rsidR="00000000" w:rsidDel="00000000" w:rsidP="00000000" w:rsidRDefault="00000000" w:rsidRPr="00000000" w14:paraId="00000174">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previo/cambios.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Distinguir no aplicable de cero.</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G02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Incidentes y tasa si hay denominador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SAC, fallas y ventas; </w:t>
            </w:r>
          </w:p>
          <w:p w:rsidR="00000000" w:rsidDel="00000000" w:rsidP="00000000" w:rsidRDefault="00000000" w:rsidRPr="00000000" w14:paraId="00000179">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continuo.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ind w:left="0" w:firstLine="0"/>
              <w:jc w:val="left"/>
              <w:rPr>
                <w:sz w:val="18"/>
                <w:szCs w:val="18"/>
                <w:vertAlign w:val="baseline"/>
              </w:rPr>
            </w:pPr>
            <w:r w:rsidDel="00000000" w:rsidR="00000000" w:rsidRPr="00000000">
              <w:rPr>
                <w:sz w:val="18"/>
                <w:szCs w:val="18"/>
                <w:vertAlign w:val="baseline"/>
                <w:rtl w:val="0"/>
              </w:rPr>
              <w:t xml:space="preserve">Ausencia de reportes no prueba ausencia de daño.</w:t>
            </w:r>
          </w:p>
        </w:tc>
      </w:tr>
    </w:tbl>
    <w:p w:rsidR="00000000" w:rsidDel="00000000" w:rsidP="00000000" w:rsidRDefault="00000000" w:rsidRPr="00000000" w14:paraId="0000017B">
      <w:pPr>
        <w:spacing w:before="400" w:line="268.8" w:lineRule="auto"/>
        <w:ind w:left="0" w:firstLine="0"/>
        <w:rPr>
          <w:vertAlign w:val="baseline"/>
        </w:rPr>
      </w:pPr>
      <w:r w:rsidDel="00000000" w:rsidR="00000000" w:rsidRPr="00000000">
        <w:rPr>
          <w:vertAlign w:val="baseline"/>
          <w:rtl w:val="0"/>
        </w:rPr>
        <w:t xml:space="preserve">La función de retorno al ESG Trends Radar es registrar si las señales iniciales se sostuvieron: si una prima de precio no fue viable, no se transforma el resultado en éxito reputacional; si la función del envase empeora, no se oculta por una mejora de compra. Una discrepancia de fuente o de método permanece en el expediente hasta aclararse. </w:t>
      </w:r>
    </w:p>
    <w:p w:rsidR="00000000" w:rsidDel="00000000" w:rsidP="00000000" w:rsidRDefault="00000000" w:rsidRPr="00000000" w14:paraId="0000017C">
      <w:pPr>
        <w:rPr>
          <w:vertAlign w:val="baseline"/>
        </w:rPr>
      </w:pPr>
      <w:r w:rsidDel="00000000" w:rsidR="00000000" w:rsidRPr="00000000">
        <w:rPr>
          <w:vertAlign w:val="baseline"/>
          <w:rtl w:val="0"/>
        </w:rPr>
        <w:t xml:space="preserve">Una reducción de resina virgen por envase no demuestra menor impacto total si cambian dosificación, desperdicio o durabilidad. Para afirmaciones climáticas o de ciclo de vida se necesita una evaluación apropiada adicional. Comprensión y confianza no reemplazan medir accesibilidad, condiciones laborales o distribución de costos y beneficios. </w:t>
      </w:r>
    </w:p>
    <w:p w:rsidR="00000000" w:rsidDel="00000000" w:rsidP="00000000" w:rsidRDefault="00000000" w:rsidRPr="00000000" w14:paraId="0000017D">
      <w:pPr>
        <w:rPr>
          <w:vertAlign w:val="baseline"/>
        </w:rPr>
      </w:pPr>
      <w:r w:rsidDel="00000000" w:rsidR="00000000" w:rsidRPr="00000000">
        <w:rPr>
          <w:vertAlign w:val="baseline"/>
          <w:rtl w:val="0"/>
        </w:rPr>
        <w:t xml:space="preserve">La base jurídica, minimización, retención y permisos de acceso deben revisarse antes de vincular tickets o cuentas. No publicar datos personales en un repositorio del Radar. La apertura debe distinguir datos agregados, instrumentos y código de los registros protegidos. Cero observado, faltante y no aplicable no son intercambiables. </w:t>
      </w:r>
    </w:p>
    <w:p w:rsidR="00000000" w:rsidDel="00000000" w:rsidP="00000000" w:rsidRDefault="00000000" w:rsidRPr="00000000" w14:paraId="0000017E">
      <w:pPr>
        <w:pStyle w:val="Heading1"/>
        <w:spacing w:before="600" w:lineRule="auto"/>
        <w:rPr>
          <w:vertAlign w:val="baseline"/>
        </w:rPr>
      </w:pPr>
      <w:bookmarkStart w:colFirst="0" w:colLast="0" w:name="_lpkss9svrr48" w:id="22"/>
      <w:bookmarkEnd w:id="22"/>
      <w:r w:rsidDel="00000000" w:rsidR="00000000" w:rsidRPr="00000000">
        <w:rPr>
          <w:rtl w:val="0"/>
        </w:rPr>
        <w:t xml:space="preserve">8. GOBERNANZA DE ALEGACIONES, DECISIÓN Y LÍMITES </w:t>
      </w:r>
      <w:r w:rsidDel="00000000" w:rsidR="00000000" w:rsidRPr="00000000">
        <w:rPr>
          <w:rtl w:val="0"/>
        </w:rPr>
      </w:r>
    </w:p>
    <w:p w:rsidR="00000000" w:rsidDel="00000000" w:rsidP="00000000" w:rsidRDefault="00000000" w:rsidRPr="00000000" w14:paraId="0000017F">
      <w:pPr>
        <w:rPr>
          <w:b w:val="1"/>
          <w:bCs w:val="1"/>
          <w:vertAlign w:val="baseline"/>
        </w:rPr>
      </w:pPr>
      <w:r w:rsidDel="00000000" w:rsidR="00000000" w:rsidRPr="00000000">
        <w:rPr>
          <w:vertAlign w:val="baseline"/>
          <w:rtl w:val="0"/>
        </w:rPr>
        <w:t xml:space="preserve">El DS 12/2020 regula metas y obligaciones de envases, define </w:t>
      </w:r>
      <w:r w:rsidDel="00000000" w:rsidR="00000000" w:rsidRPr="00000000">
        <w:rPr>
          <w:vertAlign w:val="baseline"/>
          <w:rtl w:val="0"/>
        </w:rPr>
        <w:t xml:space="preserve">GRANSIC</w:t>
      </w:r>
      <w:r w:rsidDel="00000000" w:rsidR="00000000" w:rsidRPr="00000000">
        <w:rPr>
          <w:vertAlign w:val="baseline"/>
          <w:rtl w:val="0"/>
        </w:rPr>
        <w:t xml:space="preserve"> como Grandes Sistemas Colectivos Domiciliarios y distingue productores, sistemas y gestores. No certifica automáticamente la composición PCR por participar en un sistema. Los expedientes de composición, gestión posconsumo y mensaje público responden preguntas distintas.</w:t>
      </w:r>
      <w:r w:rsidDel="00000000" w:rsidR="00000000" w:rsidRPr="00000000">
        <w:rPr>
          <w:b w:val="1"/>
          <w:bCs w:val="1"/>
          <w:vertAlign w:val="baseline"/>
          <w:rtl w:val="0"/>
        </w:rPr>
        <w:t xml:space="preserve"> [R1] </w:t>
      </w:r>
    </w:p>
    <w:p w:rsidR="00000000" w:rsidDel="00000000" w:rsidP="00000000" w:rsidRDefault="00000000" w:rsidRPr="00000000" w14:paraId="00000180">
      <w:pPr>
        <w:rPr>
          <w:vertAlign w:val="baseline"/>
        </w:rPr>
      </w:pPr>
      <w:r w:rsidDel="00000000" w:rsidR="00000000" w:rsidRPr="00000000">
        <w:rPr>
          <w:vertAlign w:val="baseline"/>
          <w:rtl w:val="0"/>
        </w:rPr>
        <w:t xml:space="preserve">Un expediente de alegación deberá contener texto exacto, SKU, lote, atributo, componente, denominador, referencia, periodo, pruebas, límites, autorizaciones de sello, responsable y actualización. El QR es acceso a información; no el aval técnico. La revisión no garantiza ausencia de denuncias ni resultados financieros. </w:t>
      </w:r>
    </w:p>
    <w:p w:rsidR="00000000" w:rsidDel="00000000" w:rsidP="00000000" w:rsidRDefault="00000000" w:rsidRPr="00000000" w14:paraId="00000181">
      <w:pPr>
        <w:rPr>
          <w:b w:val="1"/>
          <w:bCs w:val="1"/>
          <w:vertAlign w:val="baseline"/>
        </w:rPr>
      </w:pPr>
      <w:r w:rsidDel="00000000" w:rsidR="00000000" w:rsidRPr="00000000">
        <w:rPr>
          <w:vertAlign w:val="baseline"/>
          <w:rtl w:val="0"/>
        </w:rPr>
        <w:t xml:space="preserve">La circular SERNAC aprobada por Resolución Exenta N.º799 es interpretación administrativa de deberes de información y publicidad, no nueva tipificación ni aprobación individual de una etiqueta. La NCG 461 de CMF se cita como antecedente de reportabilidad de entidades en su ámbito; no como estándar de resina, norma universal de claims o calendario actualizado de todas sus modificaciones.</w:t>
      </w:r>
      <w:r w:rsidDel="00000000" w:rsidR="00000000" w:rsidRPr="00000000">
        <w:rPr>
          <w:b w:val="1"/>
          <w:bCs w:val="1"/>
          <w:vertAlign w:val="baseline"/>
          <w:rtl w:val="0"/>
        </w:rPr>
        <w:t xml:space="preserve"> [R2-R3] </w:t>
      </w:r>
    </w:p>
    <w:p w:rsidR="00000000" w:rsidDel="00000000" w:rsidP="00000000" w:rsidRDefault="00000000" w:rsidRPr="00000000" w14:paraId="00000182">
      <w:pPr>
        <w:rPr>
          <w:vertAlign w:val="baseline"/>
        </w:rPr>
      </w:pPr>
      <w:r w:rsidDel="00000000" w:rsidR="00000000" w:rsidRPr="00000000">
        <w:rPr>
          <w:vertAlign w:val="baseline"/>
          <w:rtl w:val="0"/>
        </w:rPr>
        <w:t xml:space="preserve">Escalar, iterar o detener requiere umbrales previos económicos, funcionales, ambientales y sociales. Una lista de controles cumplida acredita preparación o implementación documentada, no causalidad. Los datos corporativos o encuestas disponibles tampoco verifican por sí solos la rúbrica del Radar. </w:t>
      </w:r>
    </w:p>
    <w:p w:rsidR="00000000" w:rsidDel="00000000" w:rsidP="00000000" w:rsidRDefault="00000000" w:rsidRPr="00000000" w14:paraId="00000183">
      <w:pPr>
        <w:pStyle w:val="Heading1"/>
        <w:spacing w:before="600" w:lineRule="auto"/>
        <w:rPr>
          <w:vertAlign w:val="baseline"/>
        </w:rPr>
      </w:pPr>
      <w:bookmarkStart w:colFirst="0" w:colLast="0" w:name="_soessgonrtb4" w:id="23"/>
      <w:bookmarkEnd w:id="23"/>
      <w:r w:rsidDel="00000000" w:rsidR="00000000" w:rsidRPr="00000000">
        <w:rPr>
          <w:rtl w:val="0"/>
        </w:rPr>
        <w:t xml:space="preserve">CONCLUSIÓN </w:t>
      </w:r>
      <w:r w:rsidDel="00000000" w:rsidR="00000000" w:rsidRPr="00000000">
        <w:rPr>
          <w:rtl w:val="0"/>
        </w:rPr>
      </w:r>
    </w:p>
    <w:p w:rsidR="00000000" w:rsidDel="00000000" w:rsidP="00000000" w:rsidRDefault="00000000" w:rsidRPr="00000000" w14:paraId="00000184">
      <w:pPr>
        <w:rPr>
          <w:vertAlign w:val="baseline"/>
        </w:rPr>
      </w:pPr>
      <w:r w:rsidDel="00000000" w:rsidR="00000000" w:rsidRPr="00000000">
        <w:rPr>
          <w:vertAlign w:val="baseline"/>
          <w:rtl w:val="0"/>
        </w:rPr>
        <w:t xml:space="preserve">ESG Trends Radar organiza qué señal merece atención y qué debe comprobarse. La Arquitectura de Valor convierte esa prioridad en decisiones, capacidades y evidencia. AV-EXP-01 propone una evaluación delimitada de envase y comunicación. Esa articulación es el aporte metodológico de este artículo, no una eficacia ya acreditada. </w:t>
      </w:r>
    </w:p>
    <w:p w:rsidR="00000000" w:rsidDel="00000000" w:rsidP="00000000" w:rsidRDefault="00000000" w:rsidRPr="00000000" w14:paraId="00000185">
      <w:pPr>
        <w:rPr>
          <w:vertAlign w:val="baseline"/>
        </w:rPr>
      </w:pPr>
      <w:r w:rsidDel="00000000" w:rsidR="00000000" w:rsidRPr="00000000">
        <w:rPr>
          <w:vertAlign w:val="baseline"/>
          <w:rtl w:val="0"/>
        </w:rPr>
        <w:t xml:space="preserve">El directorio debe anticipar qué cambio conviene realizar, qué evidencia debe existir antes de comunicar y qué resultado justificaría escalar. La herramienta de inteligencia se fortalece cuando también muestra límites, contradicciones y resultados adversos; no cuando convierte toda señal en una promesa de crecimiento. </w:t>
      </w:r>
    </w:p>
    <w:p w:rsidR="00000000" w:rsidDel="00000000" w:rsidP="00000000" w:rsidRDefault="00000000" w:rsidRPr="00000000" w14:paraId="00000186">
      <w:pPr>
        <w:rPr>
          <w:vertAlign w:val="baseline"/>
        </w:rPr>
      </w:pPr>
      <w:r w:rsidDel="00000000" w:rsidR="00000000" w:rsidRPr="00000000">
        <w:rPr>
          <w:vertAlign w:val="baseline"/>
          <w:rtl w:val="0"/>
        </w:rPr>
        <w:t xml:space="preserve">Este documento puede ser base para el escrutinio público del método. La validación empírica requiere ejecución y resultados del piloto, así como estudios adicionales de adopción y efectos organizacionales. Un resultado favorable en un SKU no valida todo el ecosistema ni se generaliza automáticamente a América Latina.</w:t>
      </w:r>
    </w:p>
    <w:p w:rsidR="00000000" w:rsidDel="00000000" w:rsidP="00000000" w:rsidRDefault="00000000" w:rsidRPr="00000000" w14:paraId="00000187">
      <w:pPr>
        <w:pStyle w:val="Heading1"/>
        <w:spacing w:before="600" w:lineRule="auto"/>
        <w:rPr>
          <w:vertAlign w:val="baseline"/>
        </w:rPr>
      </w:pPr>
      <w:bookmarkStart w:colFirst="0" w:colLast="0" w:name="_7rmculr6ufiw" w:id="24"/>
      <w:bookmarkEnd w:id="24"/>
      <w:r w:rsidDel="00000000" w:rsidR="00000000" w:rsidRPr="00000000">
        <w:rPr>
          <w:rtl w:val="0"/>
        </w:rPr>
        <w:t xml:space="preserve">DECLARACIONES EDITORIALES </w:t>
      </w:r>
      <w:r w:rsidDel="00000000" w:rsidR="00000000" w:rsidRPr="00000000">
        <w:rPr>
          <w:rtl w:val="0"/>
        </w:rPr>
      </w:r>
    </w:p>
    <w:p w:rsidR="00000000" w:rsidDel="00000000" w:rsidP="00000000" w:rsidRDefault="00000000" w:rsidRPr="00000000" w14:paraId="00000188">
      <w:pPr>
        <w:rPr/>
      </w:pPr>
      <w:r w:rsidDel="00000000" w:rsidR="00000000" w:rsidRPr="00000000">
        <w:rPr>
          <w:vertAlign w:val="baseline"/>
          <w:rtl w:val="0"/>
        </w:rPr>
        <w:t xml:space="preserve">Limitaciones: revisión focalizada; sin experimento ejecutado; fuentes con perímetros distintos; SERNAC no probabilístico; NYU comercial y estadounidense; y discrepancia Natura no resuelta.</w:t>
      </w:r>
      <w:r w:rsidDel="00000000" w:rsidR="00000000" w:rsidRPr="00000000">
        <w:rPr>
          <w:rtl w:val="0"/>
        </w:rPr>
      </w:r>
    </w:p>
    <w:p w:rsidR="00000000" w:rsidDel="00000000" w:rsidP="00000000" w:rsidRDefault="00000000" w:rsidRPr="00000000" w14:paraId="00000189">
      <w:pPr>
        <w:rPr>
          <w:vertAlign w:val="baseline"/>
        </w:rPr>
      </w:pPr>
      <w:r w:rsidDel="00000000" w:rsidR="00000000" w:rsidRPr="00000000">
        <w:rPr>
          <w:vertAlign w:val="baseline"/>
          <w:rtl w:val="0"/>
        </w:rPr>
        <w:t xml:space="preserve">El autor dirige Tiempos Sustentables y desarrolla la Arquitectura de Valor; declara interés intelectual y potencialmente comercial. No hubo financiamiento externo específico. Se utilizó asistencia de IA para revisión final.</w:t>
      </w:r>
    </w:p>
    <w:p w:rsidR="00000000" w:rsidDel="00000000" w:rsidP="00000000" w:rsidRDefault="00000000" w:rsidRPr="00000000" w14:paraId="0000018A">
      <w:pPr>
        <w:rPr>
          <w:vertAlign w:val="baseline"/>
        </w:rPr>
      </w:pPr>
      <w:r w:rsidDel="00000000" w:rsidR="00000000" w:rsidRPr="00000000">
        <w:rPr>
          <w:rtl w:val="0"/>
        </w:rPr>
        <w:t xml:space="preserve">Se publica en Revista</w:t>
      </w:r>
      <w:r w:rsidDel="00000000" w:rsidR="00000000" w:rsidRPr="00000000">
        <w:rPr>
          <w:vertAlign w:val="baseline"/>
          <w:rtl w:val="0"/>
        </w:rPr>
        <w:t xml:space="preserve"> Tiempos Sustentables, ISSN e ISSN-L 3087-3096, en </w:t>
      </w:r>
      <w:hyperlink r:id="rId12">
        <w:r w:rsidDel="00000000" w:rsidR="00000000" w:rsidRPr="00000000">
          <w:rPr>
            <w:color w:val="1155cc"/>
            <w:u w:val="single"/>
            <w:rtl w:val="0"/>
          </w:rPr>
          <w:t xml:space="preserve">tiempossustentables.cl</w:t>
        </w:r>
      </w:hyperlink>
      <w:r w:rsidDel="00000000" w:rsidR="00000000" w:rsidRPr="00000000">
        <w:rPr>
          <w:rtl w:val="0"/>
        </w:rPr>
        <w:t xml:space="preserve"> </w:t>
        <w:tab/>
      </w:r>
      <w:r w:rsidDel="00000000" w:rsidR="00000000" w:rsidRPr="00000000">
        <w:rPr>
          <w:vertAlign w:val="baseline"/>
          <w:rtl w:val="0"/>
        </w:rPr>
        <w:t xml:space="preserve">©Tiempos Sustentables, 2026. CC BY 4.0 para la obra original; terceros conservan sus derechos.</w:t>
      </w:r>
    </w:p>
    <w:p w:rsidR="00000000" w:rsidDel="00000000" w:rsidP="00000000" w:rsidRDefault="00000000" w:rsidRPr="00000000" w14:paraId="0000018B">
      <w:pPr>
        <w:pStyle w:val="Heading1"/>
        <w:widowControl w:val="0"/>
        <w:spacing w:line="240" w:lineRule="auto"/>
        <w:ind w:left="27.591781616210938" w:firstLine="0"/>
        <w:rPr>
          <w:sz w:val="25.994998931884766"/>
          <w:szCs w:val="25.994998931884766"/>
        </w:rPr>
      </w:pPr>
      <w:bookmarkStart w:colFirst="0" w:colLast="0" w:name="_c39yn6i7cm5t" w:id="25"/>
      <w:bookmarkEnd w:id="25"/>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widowControl w:val="0"/>
        <w:spacing w:line="240" w:lineRule="auto"/>
        <w:ind w:left="27.591781616210938" w:firstLine="0"/>
        <w:rPr>
          <w:rFonts w:ascii="Roboto" w:cs="Roboto" w:eastAsia="Roboto" w:hAnsi="Roboto"/>
          <w:i w:val="0"/>
          <w:iCs w:val="0"/>
          <w:smallCaps w:val="0"/>
          <w:strike w:val="0"/>
          <w:color w:val="0a365c"/>
          <w:sz w:val="25.994998931884766"/>
          <w:szCs w:val="25.994998931884766"/>
          <w:u w:val="none"/>
          <w:shd w:fill="auto" w:val="clear"/>
          <w:vertAlign w:val="baseline"/>
        </w:rPr>
      </w:pPr>
      <w:bookmarkStart w:colFirst="0" w:colLast="0" w:name="_fikf7g1lkvc9" w:id="26"/>
      <w:bookmarkEnd w:id="26"/>
      <w:r w:rsidDel="00000000" w:rsidR="00000000" w:rsidRPr="00000000">
        <w:rPr>
          <w:rFonts w:ascii="Roboto" w:cs="Roboto" w:eastAsia="Roboto" w:hAnsi="Roboto"/>
          <w:i w:val="0"/>
          <w:iCs w:val="0"/>
          <w:smallCaps w:val="0"/>
          <w:strike w:val="0"/>
          <w:color w:val="0a365c"/>
          <w:sz w:val="25.994998931884766"/>
          <w:szCs w:val="25.994998931884766"/>
          <w:u w:val="none"/>
          <w:shd w:fill="auto" w:val="clear"/>
          <w:vertAlign w:val="baseline"/>
          <w:rtl w:val="0"/>
        </w:rPr>
        <w:t xml:space="preserve">Referencias y trazabilidad </w:t>
      </w:r>
    </w:p>
    <w:p w:rsidR="00000000" w:rsidDel="00000000" w:rsidP="00000000" w:rsidRDefault="00000000" w:rsidRPr="00000000" w14:paraId="0000018D">
      <w:pPr>
        <w:rPr>
          <w:vertAlign w:val="baseline"/>
        </w:rPr>
      </w:pPr>
      <w:r w:rsidDel="00000000" w:rsidR="00000000" w:rsidRPr="00000000">
        <w:rPr>
          <w:vertAlign w:val="baseline"/>
          <w:rtl w:val="0"/>
        </w:rPr>
        <w:t xml:space="preserve">Las fechas de los indicadores son periodos de datos y no deben confundirse con publicación. Se conservan las consultas primarias del 27 de octubre de 2026 para esta integración editorial del 28 de octubre de 2026; no se afirma una nueva validación en vivo de todos los enlaces.</w:t>
      </w:r>
    </w:p>
    <w:p w:rsidR="00000000" w:rsidDel="00000000" w:rsidP="00000000" w:rsidRDefault="00000000" w:rsidRPr="00000000" w14:paraId="0000018E">
      <w:pPr>
        <w:numPr>
          <w:ilvl w:val="0"/>
          <w:numId w:val="1"/>
        </w:numPr>
        <w:spacing w:after="200" w:lineRule="auto"/>
        <w:ind w:left="720" w:hanging="360"/>
        <w:jc w:val="left"/>
        <w:rPr>
          <w:u w:val="none"/>
          <w:vertAlign w:val="baseline"/>
        </w:rPr>
      </w:pPr>
      <w:r w:rsidDel="00000000" w:rsidR="00000000" w:rsidRPr="00000000">
        <w:rPr>
          <w:b w:val="1"/>
          <w:bCs w:val="1"/>
          <w:vertAlign w:val="baseline"/>
          <w:rtl w:val="0"/>
        </w:rPr>
        <w:t xml:space="preserve">[U1]</w:t>
      </w:r>
      <w:r w:rsidDel="00000000" w:rsidR="00000000" w:rsidRPr="00000000">
        <w:rPr>
          <w:vertAlign w:val="baseline"/>
          <w:rtl w:val="0"/>
        </w:rPr>
        <w:t xml:space="preserve"> Unilever (s.f.). Plastic packaging and manufacturing waste. Waste-free world; fila de plástico reciclado, notas a-c. Serie 2020- 2023. </w:t>
      </w:r>
      <w:hyperlink r:id="rId13">
        <w:r w:rsidDel="00000000" w:rsidR="00000000" w:rsidRPr="00000000">
          <w:rPr>
            <w:color w:val="1155cc"/>
            <w:u w:val="single"/>
            <w:vertAlign w:val="baseline"/>
            <w:rtl w:val="0"/>
          </w:rPr>
          <w:t xml:space="preserve">https://www.unilever.com/files/unilever-sustainability-performance-data-plastic-packaging-and-manufacturing-waste.xlsx </w:t>
        </w:r>
      </w:hyperlink>
      <w:r w:rsidDel="00000000" w:rsidR="00000000" w:rsidRPr="00000000">
        <w:rPr>
          <w:rtl w:val="0"/>
        </w:rPr>
      </w:r>
    </w:p>
    <w:p w:rsidR="00000000" w:rsidDel="00000000" w:rsidP="00000000" w:rsidRDefault="00000000" w:rsidRPr="00000000" w14:paraId="0000018F">
      <w:pPr>
        <w:numPr>
          <w:ilvl w:val="0"/>
          <w:numId w:val="1"/>
        </w:numPr>
        <w:spacing w:after="200" w:before="0" w:lineRule="auto"/>
        <w:ind w:left="720" w:hanging="360"/>
        <w:jc w:val="left"/>
        <w:rPr>
          <w:u w:val="none"/>
          <w:vertAlign w:val="baseline"/>
        </w:rPr>
      </w:pPr>
      <w:r w:rsidDel="00000000" w:rsidR="00000000" w:rsidRPr="00000000">
        <w:rPr>
          <w:b w:val="1"/>
          <w:bCs w:val="1"/>
          <w:vertAlign w:val="baseline"/>
          <w:rtl w:val="0"/>
        </w:rPr>
        <w:t xml:space="preserve">[N1] </w:t>
      </w:r>
      <w:r w:rsidDel="00000000" w:rsidR="00000000" w:rsidRPr="00000000">
        <w:rPr>
          <w:vertAlign w:val="baseline"/>
          <w:rtl w:val="0"/>
        </w:rPr>
        <w:t xml:space="preserve">Natura </w:t>
      </w:r>
      <w:r w:rsidDel="00000000" w:rsidR="00000000" w:rsidRPr="00000000">
        <w:rPr>
          <w:rtl w:val="0"/>
        </w:rPr>
        <w:t xml:space="preserve">&amp; Co</w:t>
      </w:r>
      <w:r w:rsidDel="00000000" w:rsidR="00000000" w:rsidRPr="00000000">
        <w:rPr>
          <w:vertAlign w:val="baseline"/>
          <w:rtl w:val="0"/>
        </w:rPr>
        <w:t xml:space="preserve"> (s.f.). Packaging and circularity, pasajes sobre 2024. Párrafo inicial, recuadro PCR, MRPC y Natura </w:t>
      </w:r>
      <w:r w:rsidDel="00000000" w:rsidR="00000000" w:rsidRPr="00000000">
        <w:rPr>
          <w:vertAlign w:val="baseline"/>
          <w:rtl w:val="0"/>
        </w:rPr>
        <w:t xml:space="preserve">Elos</w:t>
      </w:r>
      <w:r w:rsidDel="00000000" w:rsidR="00000000" w:rsidRPr="00000000">
        <w:rPr>
          <w:vertAlign w:val="baseline"/>
          <w:rtl w:val="0"/>
        </w:rPr>
        <w:t xml:space="preserve">. La cabecera conserva una referencia a 2023; se identifican los pasajes por su periodo explícito. </w:t>
      </w:r>
      <w:hyperlink r:id="rId14">
        <w:r w:rsidDel="00000000" w:rsidR="00000000" w:rsidRPr="00000000">
          <w:rPr>
            <w:color w:val="1155cc"/>
            <w:u w:val="single"/>
            <w:vertAlign w:val="baseline"/>
            <w:rtl w:val="0"/>
          </w:rPr>
          <w:t xml:space="preserve">https://2024ar.naturaeco.report/natura-co-latin-america/transversal-innovation/packaging-and-circularity/ </w:t>
        </w:r>
      </w:hyperlink>
      <w:r w:rsidDel="00000000" w:rsidR="00000000" w:rsidRPr="00000000">
        <w:rPr>
          <w:rtl w:val="0"/>
        </w:rPr>
      </w:r>
    </w:p>
    <w:p w:rsidR="00000000" w:rsidDel="00000000" w:rsidP="00000000" w:rsidRDefault="00000000" w:rsidRPr="00000000" w14:paraId="00000190">
      <w:pPr>
        <w:numPr>
          <w:ilvl w:val="0"/>
          <w:numId w:val="1"/>
        </w:numPr>
        <w:spacing w:after="200" w:before="0" w:lineRule="auto"/>
        <w:ind w:left="720" w:hanging="360"/>
        <w:jc w:val="left"/>
        <w:rPr>
          <w:u w:val="none"/>
          <w:vertAlign w:val="baseline"/>
        </w:rPr>
      </w:pPr>
      <w:r w:rsidDel="00000000" w:rsidR="00000000" w:rsidRPr="00000000">
        <w:rPr>
          <w:b w:val="1"/>
          <w:bCs w:val="1"/>
          <w:vertAlign w:val="baseline"/>
          <w:rtl w:val="0"/>
        </w:rPr>
        <w:t xml:space="preserve">[S1] </w:t>
      </w:r>
      <w:r w:rsidDel="00000000" w:rsidR="00000000" w:rsidRPr="00000000">
        <w:rPr>
          <w:vertAlign w:val="baseline"/>
          <w:rtl w:val="0"/>
        </w:rPr>
        <w:t xml:space="preserve">SERNAC (2025, agosto). Síntesis Ciudadana: Patrones de Consumo Sustentable en Chile 2025. Encuesta junio 2025; metodología y cifras pp.1-2. </w:t>
      </w:r>
      <w:hyperlink r:id="rId15">
        <w:r w:rsidDel="00000000" w:rsidR="00000000" w:rsidRPr="00000000">
          <w:rPr>
            <w:color w:val="1155cc"/>
            <w:u w:val="single"/>
            <w:vertAlign w:val="baseline"/>
            <w:rtl w:val="0"/>
          </w:rPr>
          <w:t xml:space="preserve">https://www.sernac.cl/portal/619/articles-87345_archivo_02.pdf </w:t>
        </w:r>
      </w:hyperlink>
      <w:r w:rsidDel="00000000" w:rsidR="00000000" w:rsidRPr="00000000">
        <w:rPr>
          <w:rtl w:val="0"/>
        </w:rPr>
      </w:r>
    </w:p>
    <w:p w:rsidR="00000000" w:rsidDel="00000000" w:rsidP="00000000" w:rsidRDefault="00000000" w:rsidRPr="00000000" w14:paraId="00000191">
      <w:pPr>
        <w:numPr>
          <w:ilvl w:val="0"/>
          <w:numId w:val="1"/>
        </w:numPr>
        <w:spacing w:after="200" w:before="0" w:lineRule="auto"/>
        <w:ind w:left="720" w:hanging="360"/>
        <w:jc w:val="left"/>
        <w:rPr>
          <w:u w:val="none"/>
          <w:vertAlign w:val="baseline"/>
        </w:rPr>
      </w:pPr>
      <w:r w:rsidDel="00000000" w:rsidR="00000000" w:rsidRPr="00000000">
        <w:rPr>
          <w:b w:val="1"/>
          <w:bCs w:val="1"/>
          <w:vertAlign w:val="baseline"/>
          <w:rtl w:val="0"/>
        </w:rPr>
        <w:t xml:space="preserve">[M1] </w:t>
      </w:r>
      <w:r w:rsidDel="00000000" w:rsidR="00000000" w:rsidRPr="00000000">
        <w:rPr>
          <w:vertAlign w:val="baseline"/>
          <w:rtl w:val="0"/>
        </w:rPr>
        <w:t xml:space="preserve">NYU Stern CSB (s.f.). Sustainable Market Share Index 2025 Report. Datos Circana; pp.3,6,8,11-12,24. Incluye precios 2024. </w:t>
      </w:r>
      <w:hyperlink r:id="rId16">
        <w:r w:rsidDel="00000000" w:rsidR="00000000" w:rsidRPr="00000000">
          <w:rPr>
            <w:color w:val="1155cc"/>
            <w:u w:val="single"/>
            <w:vertAlign w:val="baseline"/>
            <w:rtl w:val="0"/>
          </w:rPr>
          <w:t xml:space="preserve">https://www.stern.nyu.edu/sites/default/files/2026-04/SMSI%202025%20Slides%20to%20share.%20FINAL%20(1).pdf </w:t>
        </w:r>
      </w:hyperlink>
      <w:r w:rsidDel="00000000" w:rsidR="00000000" w:rsidRPr="00000000">
        <w:rPr>
          <w:rtl w:val="0"/>
        </w:rPr>
      </w:r>
    </w:p>
    <w:p w:rsidR="00000000" w:rsidDel="00000000" w:rsidP="00000000" w:rsidRDefault="00000000" w:rsidRPr="00000000" w14:paraId="00000192">
      <w:pPr>
        <w:numPr>
          <w:ilvl w:val="0"/>
          <w:numId w:val="1"/>
        </w:numPr>
        <w:spacing w:after="200" w:before="0" w:lineRule="auto"/>
        <w:ind w:left="720" w:hanging="360"/>
        <w:jc w:val="left"/>
        <w:rPr>
          <w:u w:val="none"/>
          <w:vertAlign w:val="baseline"/>
        </w:rPr>
      </w:pPr>
      <w:r w:rsidDel="00000000" w:rsidR="00000000" w:rsidRPr="00000000">
        <w:rPr>
          <w:b w:val="1"/>
          <w:bCs w:val="1"/>
          <w:vertAlign w:val="baseline"/>
          <w:rtl w:val="0"/>
        </w:rPr>
        <w:t xml:space="preserve">[R1] </w:t>
      </w:r>
      <w:r w:rsidDel="00000000" w:rsidR="00000000" w:rsidRPr="00000000">
        <w:rPr>
          <w:vertAlign w:val="baseline"/>
          <w:rtl w:val="0"/>
        </w:rPr>
        <w:t xml:space="preserve">Ministerio del Medio Ambiente. DS 12/2020, publicado 16-03-2021: metas y obligaciones de envases y embalajes. Arts.2,9,13,17,20. </w:t>
      </w:r>
      <w:hyperlink r:id="rId17">
        <w:r w:rsidDel="00000000" w:rsidR="00000000" w:rsidRPr="00000000">
          <w:rPr>
            <w:color w:val="1155cc"/>
            <w:u w:val="single"/>
            <w:vertAlign w:val="baseline"/>
            <w:rtl w:val="0"/>
          </w:rPr>
          <w:t xml:space="preserve">https://www.bcn.cl/leychile/navegar?idNorma=1157019 </w:t>
        </w:r>
      </w:hyperlink>
      <w:r w:rsidDel="00000000" w:rsidR="00000000" w:rsidRPr="00000000">
        <w:rPr>
          <w:rtl w:val="0"/>
        </w:rPr>
      </w:r>
    </w:p>
    <w:p w:rsidR="00000000" w:rsidDel="00000000" w:rsidP="00000000" w:rsidRDefault="00000000" w:rsidRPr="00000000" w14:paraId="00000193">
      <w:pPr>
        <w:numPr>
          <w:ilvl w:val="0"/>
          <w:numId w:val="1"/>
        </w:numPr>
        <w:spacing w:after="200" w:before="0" w:lineRule="auto"/>
        <w:ind w:left="720" w:hanging="360"/>
        <w:jc w:val="left"/>
        <w:rPr>
          <w:u w:val="none"/>
          <w:vertAlign w:val="baseline"/>
        </w:rPr>
      </w:pPr>
      <w:r w:rsidDel="00000000" w:rsidR="00000000" w:rsidRPr="00000000">
        <w:rPr>
          <w:b w:val="1"/>
          <w:bCs w:val="1"/>
          <w:vertAlign w:val="baseline"/>
          <w:rtl w:val="0"/>
        </w:rPr>
        <w:t xml:space="preserve">[R2] </w:t>
      </w:r>
      <w:r w:rsidDel="00000000" w:rsidR="00000000" w:rsidRPr="00000000">
        <w:rPr>
          <w:vertAlign w:val="baseline"/>
          <w:rtl w:val="0"/>
        </w:rPr>
        <w:t xml:space="preserve">SERNAC (2024, 13 de diciembre). Resolución Exenta N.º799, Circular Interpretativa sobre Consumo Sostenible. </w:t>
      </w:r>
      <w:hyperlink r:id="rId18">
        <w:r w:rsidDel="00000000" w:rsidR="00000000" w:rsidRPr="00000000">
          <w:rPr>
            <w:color w:val="1155cc"/>
            <w:u w:val="single"/>
            <w:vertAlign w:val="baseline"/>
            <w:rtl w:val="0"/>
          </w:rPr>
          <w:t xml:space="preserve">https://www.sernac.cl/portal/618/articles-83749_archivo_01.pdf?ts=1734444922 </w:t>
        </w:r>
      </w:hyperlink>
      <w:r w:rsidDel="00000000" w:rsidR="00000000" w:rsidRPr="00000000">
        <w:rPr>
          <w:rtl w:val="0"/>
        </w:rPr>
      </w:r>
    </w:p>
    <w:p w:rsidR="00000000" w:rsidDel="00000000" w:rsidP="00000000" w:rsidRDefault="00000000" w:rsidRPr="00000000" w14:paraId="00000194">
      <w:pPr>
        <w:numPr>
          <w:ilvl w:val="0"/>
          <w:numId w:val="1"/>
        </w:numPr>
        <w:spacing w:after="200" w:before="0" w:lineRule="auto"/>
        <w:ind w:left="720" w:hanging="360"/>
        <w:jc w:val="left"/>
        <w:rPr>
          <w:u w:val="none"/>
          <w:vertAlign w:val="baseline"/>
        </w:rPr>
      </w:pPr>
      <w:r w:rsidDel="00000000" w:rsidR="00000000" w:rsidRPr="00000000">
        <w:rPr>
          <w:b w:val="1"/>
          <w:bCs w:val="1"/>
          <w:vertAlign w:val="baseline"/>
          <w:rtl w:val="0"/>
        </w:rPr>
        <w:t xml:space="preserve">[R3] </w:t>
      </w:r>
      <w:r w:rsidDel="00000000" w:rsidR="00000000" w:rsidRPr="00000000">
        <w:rPr>
          <w:vertAlign w:val="baseline"/>
          <w:rtl w:val="0"/>
        </w:rPr>
        <w:t xml:space="preserve">CMF (2021, 12 de noviembre). NCG 461: modifica estructura y contenido de memoria anual. Texto original como antecedente, no compilación actualizada. </w:t>
      </w:r>
      <w:hyperlink r:id="rId19">
        <w:r w:rsidDel="00000000" w:rsidR="00000000" w:rsidRPr="00000000">
          <w:rPr>
            <w:color w:val="1155cc"/>
            <w:u w:val="single"/>
            <w:vertAlign w:val="baseline"/>
            <w:rtl w:val="0"/>
          </w:rPr>
          <w:t xml:space="preserve">https://www.cmfchile.cl/normativa/ncg_461_2021.pdf</w:t>
        </w:r>
      </w:hyperlink>
      <w:r w:rsidDel="00000000" w:rsidR="00000000" w:rsidRPr="00000000">
        <w:rPr>
          <w:vertAlign w:val="baseline"/>
          <w:rtl w:val="0"/>
        </w:rPr>
        <w:t xml:space="preserve"> </w:t>
      </w:r>
    </w:p>
    <w:p w:rsidR="00000000" w:rsidDel="00000000" w:rsidP="00000000" w:rsidRDefault="00000000" w:rsidRPr="00000000" w14:paraId="00000195">
      <w:pPr>
        <w:numPr>
          <w:ilvl w:val="0"/>
          <w:numId w:val="1"/>
        </w:numPr>
        <w:spacing w:after="200" w:before="0" w:lineRule="auto"/>
        <w:ind w:left="720" w:hanging="360"/>
        <w:jc w:val="left"/>
        <w:rPr>
          <w:u w:val="none"/>
          <w:vertAlign w:val="baseline"/>
        </w:rPr>
      </w:pPr>
      <w:r w:rsidDel="00000000" w:rsidR="00000000" w:rsidRPr="00000000">
        <w:rPr>
          <w:b w:val="1"/>
          <w:bCs w:val="1"/>
          <w:vertAlign w:val="baseline"/>
          <w:rtl w:val="0"/>
        </w:rPr>
        <w:t xml:space="preserve">[R4] </w:t>
      </w:r>
      <w:r w:rsidDel="00000000" w:rsidR="00000000" w:rsidRPr="00000000">
        <w:rPr>
          <w:vertAlign w:val="baseline"/>
          <w:rtl w:val="0"/>
        </w:rPr>
        <w:t xml:space="preserve">EFRAG (2024, mayo). IG 1: Materiality Assessment Implementation Guidance. Guía no autoritativa relativa a ESRS 2023. </w:t>
      </w:r>
      <w:hyperlink r:id="rId20">
        <w:r w:rsidDel="00000000" w:rsidR="00000000" w:rsidRPr="00000000">
          <w:rPr>
            <w:color w:val="1155cc"/>
            <w:u w:val="single"/>
            <w:vertAlign w:val="baseline"/>
            <w:rtl w:val="0"/>
          </w:rPr>
          <w:t xml:space="preserve">https://www.efrag.org/sites/default/files/sites/webpublishing/SiteAssets/IG%201%20Materiality%20Assessment_final.pdf</w:t>
        </w:r>
      </w:hyperlink>
      <w:r w:rsidDel="00000000" w:rsidR="00000000" w:rsidRPr="00000000">
        <w:rPr>
          <w:vertAlign w:val="baseline"/>
          <w:rtl w:val="0"/>
        </w:rPr>
        <w:t xml:space="preserve"> </w:t>
      </w:r>
    </w:p>
    <w:p w:rsidR="00000000" w:rsidDel="00000000" w:rsidP="00000000" w:rsidRDefault="00000000" w:rsidRPr="00000000" w14:paraId="00000196">
      <w:pPr>
        <w:numPr>
          <w:ilvl w:val="0"/>
          <w:numId w:val="1"/>
        </w:numPr>
        <w:spacing w:after="200" w:before="0" w:lineRule="auto"/>
        <w:ind w:left="720" w:hanging="360"/>
        <w:jc w:val="left"/>
        <w:rPr>
          <w:u w:val="none"/>
          <w:vertAlign w:val="baseline"/>
        </w:rPr>
      </w:pPr>
      <w:r w:rsidDel="00000000" w:rsidR="00000000" w:rsidRPr="00000000">
        <w:rPr>
          <w:b w:val="1"/>
          <w:bCs w:val="1"/>
          <w:vertAlign w:val="baseline"/>
          <w:rtl w:val="0"/>
        </w:rPr>
        <w:t xml:space="preserve">[R5] </w:t>
      </w:r>
      <w:r w:rsidDel="00000000" w:rsidR="00000000" w:rsidRPr="00000000">
        <w:rPr>
          <w:vertAlign w:val="baseline"/>
          <w:rtl w:val="0"/>
        </w:rPr>
        <w:t xml:space="preserve">Egami, N., e Imai, K. (2019). Causal Interaction in Factorial Experiments: Application to Conjoint Analysis. JASA 114(526), 529- 540. DOI 10.1080/01621459.2018.1476246. Referencia factorial, no evidencia del efecto de AV. </w:t>
      </w:r>
      <w:hyperlink r:id="rId21">
        <w:r w:rsidDel="00000000" w:rsidR="00000000" w:rsidRPr="00000000">
          <w:rPr>
            <w:color w:val="1155cc"/>
            <w:u w:val="single"/>
            <w:vertAlign w:val="baseline"/>
            <w:rtl w:val="0"/>
          </w:rPr>
          <w:t xml:space="preserve">https://imai.fas.harvard.edu/research/files/int.pdf </w:t>
        </w:r>
      </w:hyperlink>
      <w:r w:rsidDel="00000000" w:rsidR="00000000" w:rsidRPr="00000000">
        <w:rPr>
          <w:rtl w:val="0"/>
        </w:rPr>
      </w:r>
    </w:p>
    <w:p w:rsidR="00000000" w:rsidDel="00000000" w:rsidP="00000000" w:rsidRDefault="00000000" w:rsidRPr="00000000" w14:paraId="00000197">
      <w:pPr>
        <w:numPr>
          <w:ilvl w:val="0"/>
          <w:numId w:val="1"/>
        </w:numPr>
        <w:spacing w:after="200" w:before="0" w:lineRule="auto"/>
        <w:ind w:left="720" w:hanging="360"/>
        <w:jc w:val="left"/>
        <w:rPr>
          <w:u w:val="none"/>
          <w:vertAlign w:val="baseline"/>
        </w:rPr>
      </w:pPr>
      <w:r w:rsidDel="00000000" w:rsidR="00000000" w:rsidRPr="00000000">
        <w:rPr>
          <w:b w:val="1"/>
          <w:bCs w:val="1"/>
          <w:vertAlign w:val="baseline"/>
          <w:rtl w:val="0"/>
        </w:rPr>
        <w:t xml:space="preserve">[R6] </w:t>
      </w:r>
      <w:r w:rsidDel="00000000" w:rsidR="00000000" w:rsidRPr="00000000">
        <w:rPr>
          <w:vertAlign w:val="baseline"/>
          <w:rtl w:val="0"/>
        </w:rPr>
        <w:t xml:space="preserve">Portal ISSN, registro 3087-3096, Tiempos Sustentables. Copia aportada el 23 de octubre de 2026. </w:t>
      </w:r>
      <w:hyperlink r:id="rId22">
        <w:r w:rsidDel="00000000" w:rsidR="00000000" w:rsidRPr="00000000">
          <w:rPr>
            <w:color w:val="1155cc"/>
            <w:u w:val="single"/>
            <w:vertAlign w:val="baseline"/>
            <w:rtl w:val="0"/>
          </w:rPr>
          <w:t xml:space="preserve">https://portal.issn.org/resource/ISSN/3087-3096</w:t>
        </w:r>
      </w:hyperlink>
      <w:r w:rsidDel="00000000" w:rsidR="00000000" w:rsidRPr="00000000">
        <w:rPr>
          <w:vertAlign w:val="baseline"/>
          <w:rtl w:val="0"/>
        </w:rPr>
        <w:t xml:space="preserve"> </w:t>
      </w:r>
    </w:p>
    <w:p w:rsidR="00000000" w:rsidDel="00000000" w:rsidP="00000000" w:rsidRDefault="00000000" w:rsidRPr="00000000" w14:paraId="00000198">
      <w:pPr>
        <w:numPr>
          <w:ilvl w:val="0"/>
          <w:numId w:val="1"/>
        </w:numPr>
        <w:spacing w:after="200" w:before="0" w:lineRule="auto"/>
        <w:ind w:left="720" w:hanging="360"/>
        <w:jc w:val="left"/>
        <w:rPr>
          <w:u w:val="none"/>
          <w:vertAlign w:val="baseline"/>
        </w:rPr>
      </w:pPr>
      <w:r w:rsidDel="00000000" w:rsidR="00000000" w:rsidRPr="00000000">
        <w:rPr>
          <w:b w:val="1"/>
          <w:bCs w:val="1"/>
          <w:vertAlign w:val="baseline"/>
          <w:rtl w:val="0"/>
        </w:rPr>
        <w:t xml:space="preserve">Base del proyecto:</w:t>
      </w:r>
      <w:r w:rsidDel="00000000" w:rsidR="00000000" w:rsidRPr="00000000">
        <w:rPr>
          <w:vertAlign w:val="baseline"/>
          <w:rtl w:val="0"/>
        </w:rPr>
        <w:t xml:space="preserve"> data/extracted_observations.csv, blob f8e177a2032704df912c43e4056dc72513392861; metadata/sources.json, blob 9c33bc5d5f40bc095f926d3362170f16b275125e. Los 18 registros se conservan con límites adicionales en el CSV editorial adjunto; no se modificó el repositorio. </w:t>
      </w:r>
    </w:p>
    <w:p w:rsidR="00000000" w:rsidDel="00000000" w:rsidP="00000000" w:rsidRDefault="00000000" w:rsidRPr="00000000" w14:paraId="00000199">
      <w:pPr>
        <w:numPr>
          <w:ilvl w:val="0"/>
          <w:numId w:val="1"/>
        </w:numPr>
        <w:spacing w:after="200" w:lineRule="auto"/>
        <w:ind w:left="720" w:hanging="360"/>
        <w:jc w:val="left"/>
        <w:rPr>
          <w:u w:val="none"/>
          <w:vertAlign w:val="baseline"/>
        </w:rPr>
      </w:pPr>
      <w:r w:rsidDel="00000000" w:rsidR="00000000" w:rsidRPr="00000000">
        <w:rPr>
          <w:b w:val="1"/>
          <w:bCs w:val="1"/>
          <w:vertAlign w:val="baseline"/>
          <w:rtl w:val="0"/>
        </w:rPr>
        <w:t xml:space="preserve">Antecedentes de Tiempos Sustentables: </w:t>
      </w:r>
      <w:r w:rsidDel="00000000" w:rsidR="00000000" w:rsidRPr="00000000">
        <w:rPr>
          <w:vertAlign w:val="baseline"/>
          <w:rtl w:val="0"/>
        </w:rPr>
        <w:t xml:space="preserve">Economía Circular en Chile y América Latina; Doble materialidad ESG; El Nuevo Paradigma de la </w:t>
      </w:r>
      <w:r w:rsidDel="00000000" w:rsidR="00000000" w:rsidRPr="00000000">
        <w:rPr>
          <w:rtl w:val="0"/>
        </w:rPr>
        <w:t xml:space="preserve">Sostenibilidad</w:t>
      </w:r>
      <w:r w:rsidDel="00000000" w:rsidR="00000000" w:rsidRPr="00000000">
        <w:rPr>
          <w:vertAlign w:val="baseline"/>
          <w:rtl w:val="0"/>
        </w:rPr>
        <w:t xml:space="preserve"> y su Recepción Estratégica; Tiempos Sustentables y la Arquitectura de Valor. No se presentan como evaluación independiente del ecosistema.</w:t>
      </w:r>
      <w:r w:rsidDel="00000000" w:rsidR="00000000" w:rsidRPr="00000000">
        <w:rPr>
          <w:rtl w:val="0"/>
        </w:rPr>
      </w:r>
    </w:p>
    <w:sectPr>
      <w:type w:val="continuous"/>
      <w:pgSz w:h="16840" w:w="11900" w:orient="portrait"/>
      <w:pgMar w:bottom="762.59765625" w:top="1020" w:left="1009.2538452148438" w:right="950.605468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widowControl w:val="0"/>
      <w:spacing w:before="80.77171325683594" w:line="240" w:lineRule="auto"/>
      <w:jc w:val="center"/>
      <w:rPr/>
    </w:pPr>
    <w:r w:rsidDel="00000000" w:rsidR="00000000" w:rsidRPr="00000000">
      <w:rPr>
        <w:rFonts w:ascii="Roboto" w:cs="Roboto" w:eastAsia="Roboto" w:hAnsi="Roboto"/>
        <w:color w:val="64748b"/>
        <w:sz w:val="16.994998931884766"/>
        <w:szCs w:val="16.994998931884766"/>
        <w:rtl w:val="0"/>
      </w:rPr>
      <w:t xml:space="preserve">ESG Trends Radar y Arquitectura de Valor</w:t>
      <w:tab/>
      <w:tab/>
      <w:tab/>
      <w:tab/>
      <w:tab/>
      <w:tab/>
      <w:t xml:space="preserve">Tiempos Sustentables - Página </w:t>
    </w:r>
    <w:r w:rsidDel="00000000" w:rsidR="00000000" w:rsidRPr="00000000">
      <w:rPr>
        <w:rFonts w:ascii="Roboto" w:cs="Roboto" w:eastAsia="Roboto" w:hAnsi="Roboto"/>
        <w:color w:val="64748b"/>
        <w:sz w:val="16.994998931884766"/>
        <w:szCs w:val="16.9949989318847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444444"/>
      </w:rPr>
    </w:rPrDefault>
    <w:pPrDefault>
      <w:pPr>
        <w:spacing w:after="200" w:line="268.45510482788086" w:lineRule="auto"/>
        <w:ind w:left="5.138092041015625" w:right="8.93310546875" w:firstLine="21.83853149414062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75.87158203125" w:line="240" w:lineRule="auto"/>
    </w:pPr>
    <w:rPr>
      <w:rFonts w:ascii="Roboto" w:cs="Roboto" w:eastAsia="Roboto" w:hAnsi="Roboto"/>
      <w:b w:val="1"/>
      <w:bCs w:val="1"/>
      <w:color w:val="0a365c"/>
      <w:sz w:val="24"/>
      <w:szCs w:val="24"/>
    </w:rPr>
  </w:style>
  <w:style w:type="paragraph" w:styleId="Heading2">
    <w:name w:val="heading 2"/>
    <w:basedOn w:val="Normal"/>
    <w:next w:val="Normal"/>
    <w:pPr>
      <w:keepNext w:val="1"/>
      <w:keepLines w:val="1"/>
      <w:spacing w:before="600" w:line="240" w:lineRule="auto"/>
      <w:ind w:left="19.27337646484375" w:firstLine="0"/>
    </w:pPr>
    <w:rPr>
      <w:b w:val="1"/>
      <w:bCs w:val="1"/>
      <w:color w:val="0a365c"/>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frag.org/sites/default/files/sites/webpublishing/SiteAssets/IG%201%20Materiality%20Assessment_final.pdf" TargetMode="External"/><Relationship Id="rId11" Type="http://schemas.openxmlformats.org/officeDocument/2006/relationships/footer" Target="footer1.xml"/><Relationship Id="rId22" Type="http://schemas.openxmlformats.org/officeDocument/2006/relationships/hyperlink" Target="https://portal.issn.org/resource/ISSN/3087-3096" TargetMode="External"/><Relationship Id="rId10" Type="http://schemas.openxmlformats.org/officeDocument/2006/relationships/header" Target="header1.xml"/><Relationship Id="rId21" Type="http://schemas.openxmlformats.org/officeDocument/2006/relationships/hyperlink" Target="https://imai.fas.harvard.edu/research/files/int.pdf" TargetMode="External"/><Relationship Id="rId13" Type="http://schemas.openxmlformats.org/officeDocument/2006/relationships/hyperlink" Target="https://www.unilever.com/files/unilever-sustainability-performance-data-plastic-packaging-and-manufacturing-waste.xlsx" TargetMode="External"/><Relationship Id="rId12" Type="http://schemas.openxmlformats.org/officeDocument/2006/relationships/hyperlink" Target="http://tiempossustentables.c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iempossustentables.cl" TargetMode="External"/><Relationship Id="rId15" Type="http://schemas.openxmlformats.org/officeDocument/2006/relationships/hyperlink" Target="https://www.sernac.cl/portal/619/articles-87345_archivo_02.pdf" TargetMode="External"/><Relationship Id="rId14" Type="http://schemas.openxmlformats.org/officeDocument/2006/relationships/hyperlink" Target="https://2024ar.naturaeco.report/natura-co-latin-america/transversal-innovation/packaging-and-circularity/" TargetMode="External"/><Relationship Id="rId17" Type="http://schemas.openxmlformats.org/officeDocument/2006/relationships/hyperlink" Target="https://www.bcn.cl/leychile/navegar?idNorma=1157019" TargetMode="External"/><Relationship Id="rId16" Type="http://schemas.openxmlformats.org/officeDocument/2006/relationships/hyperlink" Target="https://www.stern.nyu.edu/sites/default/files/2026-04/SMSI%202025%20Slides%20to%20share.%20FINAL%20(1).pdf" TargetMode="External"/><Relationship Id="rId5" Type="http://schemas.openxmlformats.org/officeDocument/2006/relationships/styles" Target="styles.xml"/><Relationship Id="rId19" Type="http://schemas.openxmlformats.org/officeDocument/2006/relationships/hyperlink" Target="https://www.cmfchile.cl/normativa/ncg_461_2021.pdf" TargetMode="External"/><Relationship Id="rId6" Type="http://schemas.openxmlformats.org/officeDocument/2006/relationships/image" Target="media/image1.png"/><Relationship Id="rId18" Type="http://schemas.openxmlformats.org/officeDocument/2006/relationships/hyperlink" Target="https://www.sernac.cl/portal/618/articles-83749_archivo_01.pdf?ts=1734444922" TargetMode="External"/><Relationship Id="rId7" Type="http://schemas.openxmlformats.org/officeDocument/2006/relationships/hyperlink" Target="https://orcid.org/0009-0002-4839-104X" TargetMode="External"/><Relationship Id="rId8" Type="http://schemas.openxmlformats.org/officeDocument/2006/relationships/hyperlink" Target="http://tiempossustentables.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