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TÀI LIỆU YÊU CẦU NGHIỆP VỤ: XÁC THỰC THANH TOÁN ĐƠN HÀNG (PAYMENT AUTHENTICATION)</w:t>
      </w:r>
    </w:p>
    <w:p>
      <w:r>
        <w:rPr>
          <w:b/>
          <w:bCs/>
        </w:rPr>
        <w:t xml:space="preserve">Phiên bản: </w:t>
      </w:r>
      <w:r>
        <w:t xml:space="preserve">2.1.0 | </w:t>
      </w:r>
      <w:r>
        <w:rPr>
          <w:b/>
          <w:bCs/>
        </w:rPr>
        <w:t xml:space="preserve">Tác giả: </w:t>
      </w:r>
      <w:r>
        <w:t xml:space="preserve">Product Owner - KBSV | </w:t>
      </w:r>
      <w:r>
        <w:rPr>
          <w:b/>
          <w:bCs/>
        </w:rPr>
        <w:t xml:space="preserve">Trạng thái: </w:t>
      </w:r>
      <w:r>
        <w:t xml:space="preserve">APPROVED</w:t>
      </w:r>
    </w:p>
    <w:p/>
    <w:p>
      <w:pPr>
        <w:pStyle w:val="Heading1"/>
      </w:pPr>
      <w:r>
        <w:t xml:space="preserve">1. TỔNG QUAN &amp; MỤC TIÊU HỆ THỐNG</w:t>
      </w:r>
    </w:p>
    <w:p>
      <w:r>
        <w:t xml:space="preserve">Cung cấp API xác thực thanh toán thời gian thực cho hệ thống E-Commerce &amp; Chứng khoán, kết nối cổng thanh toán MoMo, VNPay và ngân hàng nội địa với độ trễ dưới 500ms và bảo đảm tính Idempotent tuyệt đối.</w:t>
      </w:r>
    </w:p>
    <w:p/>
    <w:p>
      <w:pPr>
        <w:pStyle w:val="Heading1"/>
      </w:pPr>
      <w:r>
        <w:t xml:space="preserve">2. CƠ SỞ DỮ LIỆU &amp; BẢNG DỮ LIỆU (DATA DICTIONARY)</w:t>
      </w:r>
    </w:p>
    <w:p>
      <w:r>
        <w:t xml:space="preserve">Bảng dữ liệu quản lý giao dịch: tbl_payment_transaction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p>
            <w:r>
              <w:rPr>
                <w:b/>
                <w:bCs/>
              </w:rPr>
              <w:t xml:space="preserve">Tên cột</w:t>
            </w:r>
          </w:p>
        </w:tc>
        <w:tc>
          <w:p>
            <w:r>
              <w:rPr>
                <w:b/>
                <w:bCs/>
              </w:rPr>
              <w:t xml:space="preserve">Kiểu dữ liệu</w:t>
            </w:r>
          </w:p>
        </w:tc>
        <w:tc>
          <w:p>
            <w:r>
              <w:rPr>
                <w:b/>
                <w:bCs/>
              </w:rPr>
              <w:t xml:space="preserve">Ràng buộc</w:t>
            </w:r>
          </w:p>
        </w:tc>
        <w:tc>
          <w:p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r>
              <w:t xml:space="preserve">transaction_id</w:t>
            </w:r>
          </w:p>
        </w:tc>
        <w:tc>
          <w:p>
            <w:r>
              <w:t xml:space="preserve">VARCHAR(36)</w:t>
            </w:r>
          </w:p>
        </w:tc>
        <w:tc>
          <w:p>
            <w:r>
              <w:t xml:space="preserve">PK, NOT NULL</w:t>
            </w:r>
          </w:p>
        </w:tc>
        <w:tc>
          <w:p>
            <w:r>
              <w:t xml:space="preserve">Mã định danh duy nhất (UUID)</w:t>
            </w:r>
          </w:p>
        </w:tc>
      </w:tr>
      <w:tr>
        <w:tc>
          <w:p>
            <w:r>
              <w:t xml:space="preserve">order_id</w:t>
            </w:r>
          </w:p>
        </w:tc>
        <w:tc>
          <w:p>
            <w:r>
              <w:t xml:space="preserve">VARCHAR(36)</w:t>
            </w:r>
          </w:p>
        </w:tc>
        <w:tc>
          <w:p>
            <w:r>
              <w:t xml:space="preserve">NOT NULL, INDEX</w:t>
            </w:r>
          </w:p>
        </w:tc>
        <w:tc>
          <w:p>
            <w:r>
              <w:t xml:space="preserve">Mã đơn hàng liên kết</w:t>
            </w:r>
          </w:p>
        </w:tc>
      </w:tr>
      <w:tr>
        <w:tc>
          <w:p>
            <w:r>
              <w:t xml:space="preserve">amount</w:t>
            </w:r>
          </w:p>
        </w:tc>
        <w:tc>
          <w:p>
            <w:r>
              <w:t xml:space="preserve">DECIMAL(18,2)</w:t>
            </w:r>
          </w:p>
        </w:tc>
        <w:tc>
          <w:p>
            <w:r>
              <w:t xml:space="preserve">NOT NULL, &gt; 0</w:t>
            </w:r>
          </w:p>
        </w:tc>
        <w:tc>
          <w:p>
            <w:r>
              <w:t xml:space="preserve">Số tiền thanh toán</w:t>
            </w:r>
          </w:p>
        </w:tc>
      </w:tr>
      <w:tr>
        <w:tc>
          <w:p>
            <w:r>
              <w:t xml:space="preserve">gateway</w:t>
            </w:r>
          </w:p>
        </w:tc>
        <w:tc>
          <w:p>
            <w:r>
              <w:t xml:space="preserve">VARCHAR(20)</w:t>
            </w:r>
          </w:p>
        </w:tc>
        <w:tc>
          <w:p>
            <w:r>
              <w:t xml:space="preserve">ENUM</w:t>
            </w:r>
          </w:p>
        </w:tc>
        <w:tc>
          <w:p>
            <w:r>
              <w:t xml:space="preserve">MOMO, VNPAY, BANK_TRANSFER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VARCHAR(30)</w:t>
            </w:r>
          </w:p>
        </w:tc>
        <w:tc>
          <w:p>
            <w:r>
              <w:t xml:space="preserve">ENUM</w:t>
            </w:r>
          </w:p>
        </w:tc>
        <w:tc>
          <w:p>
            <w:r>
              <w:t xml:space="preserve">PENDING, SUCCESS, FAILED</w:t>
            </w:r>
          </w:p>
        </w:tc>
      </w:tr>
      <w:tr>
        <w:tc>
          <w:p>
            <w:r>
              <w:t xml:space="preserve">is_deleted</w:t>
            </w:r>
          </w:p>
        </w:tc>
        <w:tc>
          <w:p>
            <w:r>
              <w:t xml:space="preserve">BOOLEAN</w:t>
            </w:r>
          </w:p>
        </w:tc>
        <w:tc>
          <w:p>
            <w:r>
              <w:t xml:space="preserve">DEFAULT FALSE</w:t>
            </w:r>
          </w:p>
        </w:tc>
        <w:tc>
          <w:p>
            <w:r>
              <w:t xml:space="preserve">Cờ soft delete</w:t>
            </w:r>
          </w:p>
        </w:tc>
      </w:tr>
    </w:tbl>
    <w:p/>
    <w:p>
      <w:pPr>
        <w:pStyle w:val="Heading1"/>
      </w:pPr>
      <w:r>
        <w:t xml:space="preserve">3. QUY TẮC NGHIỆP VỤ (BUSINESS RULES)</w:t>
      </w:r>
    </w:p>
    <w:p>
      <w:r>
        <w:t xml:space="preserve">- BR-01 (Idempotency): Mọi request gửi lên phải kèm header 'Idempotency-Key'. Redis cache TTL 24 giờ để chặn duplicate charge.</w:t>
      </w:r>
    </w:p>
    <w:p>
      <w:r>
        <w:t xml:space="preserve">- BR-02 (2FA OTP Verification): Giao dịch trên 10,000,000 VND bắt buộc phải xác thực OTP qua SMS/SmartOTP.</w:t>
      </w:r>
    </w:p>
    <w:p>
      <w:r>
        <w:t xml:space="preserve">- BR-03 (Transactional Outbox): Lưu giao dịch vào database đồng thời ghi bản ghi Outbox event phát sang Kafka topic 'payment.events'.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2026-09-29T07:18:10.862Z</dcterms:created>
  <dcterms:modified xsi:type="dcterms:W3CDTF">2026-09-29T07:18:10.863Z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